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D65B" w14:textId="77777777" w:rsidR="0091158E" w:rsidRPr="002555F6" w:rsidRDefault="00676308" w:rsidP="0068580C">
      <w:pPr>
        <w:jc w:val="both"/>
        <w:rPr>
          <w:rFonts w:ascii="Optima" w:hAnsi="Optima"/>
          <w:b/>
          <w:sz w:val="24"/>
          <w:szCs w:val="24"/>
          <w:u w:val="single"/>
        </w:rPr>
      </w:pPr>
      <w:r w:rsidRPr="002555F6">
        <w:rPr>
          <w:rFonts w:ascii="Optima" w:hAnsi="Optima"/>
          <w:b/>
          <w:sz w:val="24"/>
          <w:szCs w:val="24"/>
          <w:u w:val="single"/>
        </w:rPr>
        <w:t xml:space="preserve">Winding-Up Petitions after </w:t>
      </w:r>
      <w:r w:rsidR="00CD4B48" w:rsidRPr="002555F6">
        <w:rPr>
          <w:rFonts w:ascii="Optima" w:hAnsi="Optima"/>
          <w:b/>
          <w:sz w:val="24"/>
          <w:szCs w:val="24"/>
          <w:u w:val="single"/>
        </w:rPr>
        <w:t xml:space="preserve">the </w:t>
      </w:r>
      <w:r w:rsidR="00332A08" w:rsidRPr="002555F6">
        <w:rPr>
          <w:rFonts w:ascii="Optima" w:hAnsi="Optima"/>
          <w:b/>
          <w:sz w:val="24"/>
          <w:szCs w:val="24"/>
          <w:u w:val="single"/>
        </w:rPr>
        <w:t xml:space="preserve">New Insolvency Practice Direction relating to </w:t>
      </w:r>
      <w:r w:rsidR="0048408A" w:rsidRPr="002555F6">
        <w:rPr>
          <w:rFonts w:ascii="Optima" w:hAnsi="Optima"/>
          <w:b/>
          <w:sz w:val="24"/>
          <w:szCs w:val="24"/>
          <w:u w:val="single"/>
        </w:rPr>
        <w:t>the Corporate Insolvency and Governance Act 2020</w:t>
      </w:r>
    </w:p>
    <w:p w14:paraId="284B31FC" w14:textId="77777777" w:rsidR="0027087A" w:rsidRPr="002555F6" w:rsidRDefault="0027087A" w:rsidP="0068580C">
      <w:pPr>
        <w:jc w:val="both"/>
        <w:rPr>
          <w:b/>
          <w:sz w:val="24"/>
          <w:szCs w:val="24"/>
        </w:rPr>
      </w:pPr>
    </w:p>
    <w:p w14:paraId="67C94A9D" w14:textId="77777777" w:rsidR="0027087A" w:rsidRPr="002555F6" w:rsidRDefault="0027087A" w:rsidP="0068580C">
      <w:pPr>
        <w:jc w:val="both"/>
        <w:rPr>
          <w:rFonts w:ascii="Optima" w:hAnsi="Optima"/>
          <w:b/>
          <w:sz w:val="24"/>
          <w:szCs w:val="24"/>
        </w:rPr>
      </w:pPr>
      <w:r w:rsidRPr="002555F6">
        <w:rPr>
          <w:rFonts w:ascii="Optima" w:hAnsi="Optima"/>
          <w:b/>
          <w:sz w:val="24"/>
          <w:szCs w:val="24"/>
        </w:rPr>
        <w:t>Introduction</w:t>
      </w:r>
    </w:p>
    <w:p w14:paraId="30406079" w14:textId="77777777" w:rsidR="0027087A" w:rsidRPr="002555F6" w:rsidRDefault="0027087A" w:rsidP="0068580C">
      <w:pPr>
        <w:jc w:val="both"/>
        <w:rPr>
          <w:rFonts w:ascii="Optima" w:hAnsi="Optima"/>
          <w:b/>
          <w:sz w:val="24"/>
          <w:szCs w:val="24"/>
        </w:rPr>
      </w:pPr>
    </w:p>
    <w:p w14:paraId="30C1C9F7" w14:textId="77777777" w:rsidR="00FD7641" w:rsidRPr="002555F6" w:rsidRDefault="007070F4" w:rsidP="0068580C">
      <w:pPr>
        <w:spacing w:line="360" w:lineRule="auto"/>
        <w:jc w:val="both"/>
        <w:rPr>
          <w:rFonts w:ascii="Optima" w:hAnsi="Optima"/>
          <w:sz w:val="24"/>
          <w:szCs w:val="24"/>
        </w:rPr>
      </w:pPr>
      <w:r w:rsidRPr="002555F6">
        <w:rPr>
          <w:rFonts w:ascii="Optima" w:hAnsi="Optima"/>
          <w:sz w:val="24"/>
          <w:szCs w:val="24"/>
        </w:rPr>
        <w:t xml:space="preserve">The </w:t>
      </w:r>
      <w:r w:rsidR="00503C80" w:rsidRPr="002555F6">
        <w:rPr>
          <w:rFonts w:ascii="Optima" w:hAnsi="Optima"/>
          <w:sz w:val="24"/>
          <w:szCs w:val="24"/>
        </w:rPr>
        <w:t xml:space="preserve">Corporate Insolvency and Governance Act 2020 </w:t>
      </w:r>
      <w:r w:rsidR="00092626" w:rsidRPr="002555F6">
        <w:rPr>
          <w:rFonts w:ascii="Optima" w:hAnsi="Optima"/>
          <w:sz w:val="24"/>
          <w:szCs w:val="24"/>
        </w:rPr>
        <w:t xml:space="preserve">(“the Act”) </w:t>
      </w:r>
      <w:r w:rsidR="00503C80" w:rsidRPr="002555F6">
        <w:rPr>
          <w:rFonts w:ascii="Optima" w:hAnsi="Optima"/>
          <w:sz w:val="24"/>
          <w:szCs w:val="24"/>
        </w:rPr>
        <w:t>came into force on 26 June 2020. The Act introduced a number of</w:t>
      </w:r>
      <w:r w:rsidR="002564B2" w:rsidRPr="002555F6">
        <w:rPr>
          <w:rFonts w:ascii="Optima" w:hAnsi="Optima"/>
          <w:sz w:val="24"/>
          <w:szCs w:val="24"/>
        </w:rPr>
        <w:t xml:space="preserve"> </w:t>
      </w:r>
      <w:r w:rsidR="00D81DC9" w:rsidRPr="002555F6">
        <w:rPr>
          <w:rFonts w:ascii="Optima" w:hAnsi="Optima"/>
          <w:sz w:val="24"/>
          <w:szCs w:val="24"/>
        </w:rPr>
        <w:t xml:space="preserve">temporary </w:t>
      </w:r>
      <w:r w:rsidR="002564B2" w:rsidRPr="002555F6">
        <w:rPr>
          <w:rFonts w:ascii="Optima" w:hAnsi="Optima"/>
          <w:sz w:val="24"/>
          <w:szCs w:val="24"/>
        </w:rPr>
        <w:t>changes to the UK’s insolvency regime to mitigate the adverse economic effects of Covid-19.</w:t>
      </w:r>
      <w:r w:rsidRPr="002555F6">
        <w:rPr>
          <w:rFonts w:ascii="Optima" w:hAnsi="Optima"/>
          <w:sz w:val="24"/>
          <w:szCs w:val="24"/>
        </w:rPr>
        <w:t xml:space="preserve"> </w:t>
      </w:r>
      <w:r w:rsidR="00D624E9" w:rsidRPr="002555F6">
        <w:rPr>
          <w:rFonts w:ascii="Optima" w:hAnsi="Optima"/>
          <w:sz w:val="24"/>
          <w:szCs w:val="24"/>
        </w:rPr>
        <w:t xml:space="preserve">One of the key changes is the prohibition on </w:t>
      </w:r>
      <w:r w:rsidR="00391BC3" w:rsidRPr="002555F6">
        <w:rPr>
          <w:rFonts w:ascii="Optima" w:hAnsi="Optima"/>
          <w:sz w:val="24"/>
          <w:szCs w:val="24"/>
        </w:rPr>
        <w:t xml:space="preserve">the presentation of winding up petitions in Schedule 10 of the Act and is set out below in more detail. </w:t>
      </w:r>
    </w:p>
    <w:p w14:paraId="156DD190" w14:textId="77777777" w:rsidR="00392335" w:rsidRPr="002555F6" w:rsidRDefault="00FD7641" w:rsidP="0068580C">
      <w:pPr>
        <w:spacing w:line="360" w:lineRule="auto"/>
        <w:jc w:val="both"/>
        <w:rPr>
          <w:rFonts w:ascii="Optima" w:hAnsi="Optima"/>
          <w:sz w:val="24"/>
          <w:szCs w:val="24"/>
        </w:rPr>
      </w:pPr>
      <w:r w:rsidRPr="002555F6">
        <w:rPr>
          <w:rFonts w:ascii="Optima" w:hAnsi="Optima"/>
          <w:sz w:val="24"/>
          <w:szCs w:val="24"/>
        </w:rPr>
        <w:t>On 3 July 2020, the Lord Chancellor</w:t>
      </w:r>
      <w:r w:rsidR="00391BC3" w:rsidRPr="002555F6">
        <w:rPr>
          <w:rFonts w:ascii="Optima" w:hAnsi="Optima"/>
          <w:sz w:val="24"/>
          <w:szCs w:val="24"/>
        </w:rPr>
        <w:t xml:space="preserve"> approved a new Insolvency Practice Direction which sets out </w:t>
      </w:r>
      <w:r w:rsidR="00DB6DFE" w:rsidRPr="002555F6">
        <w:rPr>
          <w:rFonts w:ascii="Optima" w:hAnsi="Optima"/>
          <w:sz w:val="24"/>
          <w:szCs w:val="24"/>
        </w:rPr>
        <w:t xml:space="preserve">the </w:t>
      </w:r>
      <w:r w:rsidR="00391BC3" w:rsidRPr="002555F6">
        <w:rPr>
          <w:rFonts w:ascii="Optima" w:hAnsi="Optima"/>
          <w:sz w:val="24"/>
          <w:szCs w:val="24"/>
        </w:rPr>
        <w:t>procedures</w:t>
      </w:r>
      <w:r w:rsidR="00392335" w:rsidRPr="002555F6">
        <w:rPr>
          <w:rFonts w:ascii="Optima" w:hAnsi="Optima"/>
          <w:sz w:val="24"/>
          <w:szCs w:val="24"/>
        </w:rPr>
        <w:t xml:space="preserve"> governing winding up petitions</w:t>
      </w:r>
      <w:r w:rsidR="00DB6DFE" w:rsidRPr="002555F6">
        <w:rPr>
          <w:rFonts w:ascii="Optima" w:hAnsi="Optima"/>
          <w:sz w:val="24"/>
          <w:szCs w:val="24"/>
        </w:rPr>
        <w:t xml:space="preserve"> until 30 September 2020</w:t>
      </w:r>
      <w:r w:rsidR="00392335" w:rsidRPr="002555F6">
        <w:rPr>
          <w:rFonts w:ascii="Optima" w:hAnsi="Optima"/>
          <w:sz w:val="24"/>
          <w:szCs w:val="24"/>
        </w:rPr>
        <w:t xml:space="preserve">. </w:t>
      </w:r>
      <w:r w:rsidR="00391BC3" w:rsidRPr="002555F6">
        <w:rPr>
          <w:rFonts w:ascii="Optima" w:hAnsi="Optima"/>
          <w:sz w:val="24"/>
          <w:szCs w:val="24"/>
        </w:rPr>
        <w:t>In this article I will address th</w:t>
      </w:r>
      <w:r w:rsidR="00392335" w:rsidRPr="002555F6">
        <w:rPr>
          <w:rFonts w:ascii="Optima" w:hAnsi="Optima"/>
          <w:sz w:val="24"/>
          <w:szCs w:val="24"/>
        </w:rPr>
        <w:t>os</w:t>
      </w:r>
      <w:r w:rsidR="00391BC3" w:rsidRPr="002555F6">
        <w:rPr>
          <w:rFonts w:ascii="Optima" w:hAnsi="Optima"/>
          <w:sz w:val="24"/>
          <w:szCs w:val="24"/>
        </w:rPr>
        <w:t>e procedures and</w:t>
      </w:r>
      <w:r w:rsidR="00392335" w:rsidRPr="002555F6">
        <w:rPr>
          <w:rFonts w:ascii="Optima" w:hAnsi="Optima"/>
          <w:sz w:val="24"/>
          <w:szCs w:val="24"/>
        </w:rPr>
        <w:t xml:space="preserve"> their impact in practice upon the winding up process. </w:t>
      </w:r>
    </w:p>
    <w:p w14:paraId="310D4A12" w14:textId="77777777" w:rsidR="00C206DB" w:rsidRPr="002555F6" w:rsidRDefault="00C206DB" w:rsidP="0068580C">
      <w:pPr>
        <w:spacing w:line="360" w:lineRule="auto"/>
        <w:jc w:val="both"/>
        <w:rPr>
          <w:rFonts w:ascii="Optima" w:hAnsi="Optima"/>
          <w:sz w:val="24"/>
          <w:szCs w:val="24"/>
        </w:rPr>
      </w:pPr>
    </w:p>
    <w:p w14:paraId="65DF5653" w14:textId="77777777" w:rsidR="00371AAC" w:rsidRPr="002555F6" w:rsidRDefault="00092626" w:rsidP="0068580C">
      <w:pPr>
        <w:pStyle w:val="ListParagraph"/>
        <w:numPr>
          <w:ilvl w:val="0"/>
          <w:numId w:val="8"/>
        </w:numPr>
        <w:spacing w:line="360" w:lineRule="auto"/>
        <w:jc w:val="both"/>
        <w:rPr>
          <w:rFonts w:ascii="Optima" w:hAnsi="Optima"/>
          <w:b/>
        </w:rPr>
      </w:pPr>
      <w:r w:rsidRPr="002555F6">
        <w:rPr>
          <w:rFonts w:ascii="Optima" w:hAnsi="Optima"/>
          <w:b/>
        </w:rPr>
        <w:t xml:space="preserve">Schedule 10 Corporate Insolvency and Governance Act 2020 </w:t>
      </w:r>
    </w:p>
    <w:p w14:paraId="43FF9A6C" w14:textId="77777777" w:rsidR="00AD250D" w:rsidRPr="002555F6" w:rsidRDefault="00AD250D" w:rsidP="0068580C">
      <w:pPr>
        <w:spacing w:line="360" w:lineRule="auto"/>
        <w:jc w:val="both"/>
        <w:rPr>
          <w:rFonts w:ascii="Optima" w:hAnsi="Optima"/>
          <w:sz w:val="24"/>
          <w:szCs w:val="24"/>
        </w:rPr>
      </w:pPr>
    </w:p>
    <w:p w14:paraId="3FD40D22" w14:textId="77777777" w:rsidR="00AD250D" w:rsidRPr="002555F6" w:rsidRDefault="00AD250D" w:rsidP="0068580C">
      <w:pPr>
        <w:pStyle w:val="ListParagraph"/>
        <w:numPr>
          <w:ilvl w:val="1"/>
          <w:numId w:val="8"/>
        </w:numPr>
        <w:spacing w:line="360" w:lineRule="auto"/>
        <w:jc w:val="both"/>
        <w:rPr>
          <w:rFonts w:ascii="Optima" w:hAnsi="Optima"/>
          <w:b/>
        </w:rPr>
      </w:pPr>
      <w:r w:rsidRPr="002555F6">
        <w:rPr>
          <w:rFonts w:ascii="Optima" w:hAnsi="Optima"/>
          <w:b/>
        </w:rPr>
        <w:t xml:space="preserve">The </w:t>
      </w:r>
      <w:r w:rsidR="00E2361F" w:rsidRPr="002555F6">
        <w:rPr>
          <w:rFonts w:ascii="Optima" w:hAnsi="Optima"/>
          <w:b/>
        </w:rPr>
        <w:t xml:space="preserve">prohibition </w:t>
      </w:r>
    </w:p>
    <w:p w14:paraId="45089A68" w14:textId="77777777" w:rsidR="00AD250D" w:rsidRPr="002555F6" w:rsidRDefault="00AD250D" w:rsidP="0068580C">
      <w:pPr>
        <w:spacing w:line="360" w:lineRule="auto"/>
        <w:jc w:val="both"/>
        <w:rPr>
          <w:rFonts w:ascii="Optima" w:hAnsi="Optima"/>
          <w:sz w:val="24"/>
          <w:szCs w:val="24"/>
        </w:rPr>
      </w:pPr>
    </w:p>
    <w:p w14:paraId="76186570" w14:textId="77777777" w:rsidR="00AD250D" w:rsidRPr="002555F6" w:rsidRDefault="0055669D" w:rsidP="0068580C">
      <w:pPr>
        <w:spacing w:line="360" w:lineRule="auto"/>
        <w:jc w:val="both"/>
        <w:rPr>
          <w:rFonts w:ascii="Optima" w:hAnsi="Optima"/>
          <w:sz w:val="24"/>
          <w:szCs w:val="24"/>
        </w:rPr>
      </w:pPr>
      <w:r w:rsidRPr="002555F6">
        <w:rPr>
          <w:rFonts w:ascii="Optima" w:hAnsi="Optima"/>
          <w:sz w:val="24"/>
          <w:szCs w:val="24"/>
        </w:rPr>
        <w:t xml:space="preserve">The prohibition as stated in Schedule 10 of the </w:t>
      </w:r>
      <w:r w:rsidR="00092626" w:rsidRPr="002555F6">
        <w:rPr>
          <w:rFonts w:ascii="Optima" w:hAnsi="Optima"/>
          <w:sz w:val="24"/>
          <w:szCs w:val="24"/>
        </w:rPr>
        <w:t>Act</w:t>
      </w:r>
      <w:r w:rsidR="00CB4499" w:rsidRPr="002555F6">
        <w:rPr>
          <w:rFonts w:ascii="Optima" w:hAnsi="Optima"/>
          <w:sz w:val="24"/>
          <w:szCs w:val="24"/>
        </w:rPr>
        <w:t xml:space="preserve"> </w:t>
      </w:r>
      <w:r w:rsidRPr="002555F6">
        <w:rPr>
          <w:rFonts w:ascii="Optima" w:hAnsi="Optima"/>
          <w:sz w:val="24"/>
          <w:szCs w:val="24"/>
        </w:rPr>
        <w:t>can be summarised is as follows:</w:t>
      </w:r>
    </w:p>
    <w:p w14:paraId="20F87BD7" w14:textId="77777777" w:rsidR="007D45FD" w:rsidRPr="002555F6" w:rsidRDefault="007D45FD" w:rsidP="0068580C">
      <w:pPr>
        <w:pStyle w:val="ListParagraph"/>
        <w:numPr>
          <w:ilvl w:val="0"/>
          <w:numId w:val="12"/>
        </w:numPr>
        <w:spacing w:line="360" w:lineRule="auto"/>
        <w:jc w:val="both"/>
        <w:rPr>
          <w:rFonts w:ascii="Optima" w:hAnsi="Optima"/>
        </w:rPr>
      </w:pPr>
      <w:r w:rsidRPr="002555F6">
        <w:rPr>
          <w:rFonts w:ascii="Optima" w:hAnsi="Optima"/>
        </w:rPr>
        <w:t xml:space="preserve">No petition for the winding up of a company can be presented on or after 27 April 2020 on the ground that a company has failed to satisfy a statutory demand if that demand was served between 1 March and </w:t>
      </w:r>
      <w:r w:rsidR="00E36D67" w:rsidRPr="002555F6">
        <w:rPr>
          <w:rFonts w:ascii="Optima" w:hAnsi="Optima"/>
        </w:rPr>
        <w:t xml:space="preserve">30 September 2020; </w:t>
      </w:r>
      <w:r w:rsidRPr="002555F6">
        <w:rPr>
          <w:rFonts w:ascii="Optima" w:hAnsi="Optima"/>
        </w:rPr>
        <w:t xml:space="preserve">and </w:t>
      </w:r>
    </w:p>
    <w:p w14:paraId="77B3AE36" w14:textId="77777777" w:rsidR="007D45FD" w:rsidRPr="002555F6" w:rsidRDefault="007D45FD" w:rsidP="0068580C">
      <w:pPr>
        <w:pStyle w:val="ListParagraph"/>
        <w:numPr>
          <w:ilvl w:val="0"/>
          <w:numId w:val="12"/>
        </w:numPr>
        <w:spacing w:line="360" w:lineRule="auto"/>
        <w:jc w:val="both"/>
        <w:rPr>
          <w:rFonts w:ascii="Optima" w:hAnsi="Optima"/>
        </w:rPr>
      </w:pPr>
      <w:r w:rsidRPr="002555F6">
        <w:rPr>
          <w:rFonts w:ascii="Optima" w:hAnsi="Optima"/>
        </w:rPr>
        <w:t xml:space="preserve">No petition for the winding up of a company can be presented by a creditor on or after 27 April and 30 </w:t>
      </w:r>
      <w:r w:rsidR="00E36D67" w:rsidRPr="002555F6">
        <w:rPr>
          <w:rFonts w:ascii="Optima" w:hAnsi="Optima"/>
        </w:rPr>
        <w:t xml:space="preserve">September </w:t>
      </w:r>
      <w:r w:rsidRPr="002555F6">
        <w:rPr>
          <w:rFonts w:ascii="Optima" w:hAnsi="Optima"/>
        </w:rPr>
        <w:t>2020 unless the creditor has reasonable grounds for believing that (1) coronavirus has not had a financial effect on the debtor or (2) the debtor would have been unable to pay its debts even if coronavirus had not had a financial effect on the debtor.</w:t>
      </w:r>
    </w:p>
    <w:p w14:paraId="432F35EB" w14:textId="77777777" w:rsidR="0055669D" w:rsidRPr="002555F6" w:rsidRDefault="0055669D" w:rsidP="0068580C">
      <w:pPr>
        <w:spacing w:line="360" w:lineRule="auto"/>
        <w:jc w:val="both"/>
        <w:rPr>
          <w:rFonts w:ascii="Optima" w:hAnsi="Optima"/>
          <w:sz w:val="24"/>
          <w:szCs w:val="24"/>
        </w:rPr>
      </w:pPr>
    </w:p>
    <w:p w14:paraId="05344C38" w14:textId="77777777" w:rsidR="00B842F1" w:rsidRPr="002555F6" w:rsidRDefault="00AD250D" w:rsidP="0068580C">
      <w:pPr>
        <w:pStyle w:val="ListParagraph"/>
        <w:numPr>
          <w:ilvl w:val="1"/>
          <w:numId w:val="8"/>
        </w:numPr>
        <w:spacing w:line="360" w:lineRule="auto"/>
        <w:jc w:val="both"/>
        <w:rPr>
          <w:rFonts w:ascii="Optima" w:hAnsi="Optima"/>
          <w:b/>
        </w:rPr>
      </w:pPr>
      <w:r w:rsidRPr="002555F6">
        <w:rPr>
          <w:rFonts w:ascii="Optima" w:hAnsi="Optima"/>
          <w:b/>
        </w:rPr>
        <w:lastRenderedPageBreak/>
        <w:t xml:space="preserve">The </w:t>
      </w:r>
      <w:r w:rsidR="0007607F" w:rsidRPr="002555F6">
        <w:rPr>
          <w:rFonts w:ascii="Optima" w:hAnsi="Optima"/>
          <w:b/>
        </w:rPr>
        <w:t xml:space="preserve">impact of the prohibition </w:t>
      </w:r>
      <w:r w:rsidRPr="002555F6">
        <w:rPr>
          <w:rFonts w:ascii="Optima" w:hAnsi="Optima"/>
          <w:b/>
        </w:rPr>
        <w:t xml:space="preserve"> </w:t>
      </w:r>
    </w:p>
    <w:p w14:paraId="425CBDA3" w14:textId="77777777" w:rsidR="00B842F1" w:rsidRPr="002555F6" w:rsidRDefault="00B842F1" w:rsidP="0068580C">
      <w:pPr>
        <w:pStyle w:val="ListParagraph"/>
        <w:spacing w:line="360" w:lineRule="auto"/>
        <w:jc w:val="both"/>
        <w:rPr>
          <w:rFonts w:ascii="Optima" w:hAnsi="Optima"/>
        </w:rPr>
      </w:pPr>
    </w:p>
    <w:p w14:paraId="7AE3E004" w14:textId="77777777" w:rsidR="003900D7" w:rsidRPr="002555F6" w:rsidRDefault="003900D7" w:rsidP="0068580C">
      <w:pPr>
        <w:spacing w:line="360" w:lineRule="auto"/>
        <w:jc w:val="both"/>
        <w:rPr>
          <w:rFonts w:ascii="Optima" w:hAnsi="Optima"/>
          <w:sz w:val="24"/>
          <w:szCs w:val="24"/>
        </w:rPr>
      </w:pPr>
      <w:r w:rsidRPr="002555F6">
        <w:rPr>
          <w:rFonts w:ascii="Optima" w:hAnsi="Optima"/>
          <w:sz w:val="24"/>
          <w:szCs w:val="24"/>
        </w:rPr>
        <w:t>The effect of the above provisions are that there is a blanket prohibition preventing winding-up petitions being presented to the Court on or after 27 April 2020 where they are brought on the basis of a statutory demand served between 1 March and 30 September 2020. The prohibition is not therefore restricted to the sectors which have been most severely financially impact</w:t>
      </w:r>
      <w:r w:rsidR="00092626" w:rsidRPr="002555F6">
        <w:rPr>
          <w:rFonts w:ascii="Optima" w:hAnsi="Optima"/>
          <w:sz w:val="24"/>
          <w:szCs w:val="24"/>
        </w:rPr>
        <w:t xml:space="preserve">ed by the effects of Covid-19. </w:t>
      </w:r>
    </w:p>
    <w:p w14:paraId="1315F670" w14:textId="77777777" w:rsidR="00A37A63" w:rsidRPr="002555F6" w:rsidRDefault="00A37A63" w:rsidP="0068580C">
      <w:pPr>
        <w:spacing w:line="360" w:lineRule="auto"/>
        <w:jc w:val="both"/>
        <w:rPr>
          <w:rFonts w:ascii="Optima" w:hAnsi="Optima"/>
          <w:sz w:val="24"/>
          <w:szCs w:val="24"/>
        </w:rPr>
      </w:pPr>
      <w:r w:rsidRPr="002555F6">
        <w:rPr>
          <w:rFonts w:ascii="Optima" w:hAnsi="Optima"/>
          <w:sz w:val="24"/>
          <w:szCs w:val="24"/>
        </w:rPr>
        <w:t xml:space="preserve">The Court “may” make a winding-up order </w:t>
      </w:r>
      <w:r w:rsidR="00D17DC5" w:rsidRPr="002555F6">
        <w:rPr>
          <w:rFonts w:ascii="Optima" w:hAnsi="Optima"/>
          <w:sz w:val="24"/>
          <w:szCs w:val="24"/>
        </w:rPr>
        <w:t>based on a petition presented after 1 March 2020 as long as it is satisfied that</w:t>
      </w:r>
      <w:r w:rsidR="003900D7" w:rsidRPr="002555F6">
        <w:rPr>
          <w:rFonts w:ascii="Optima" w:hAnsi="Optima"/>
          <w:sz w:val="24"/>
          <w:szCs w:val="24"/>
        </w:rPr>
        <w:t xml:space="preserve"> the creditor has reasonable grounds for believing that the coronavirus has not had a financial effect on the company or that its inability to pay its debts would have arisen anyway. </w:t>
      </w:r>
      <w:r w:rsidR="00D17DC5" w:rsidRPr="002555F6">
        <w:rPr>
          <w:rFonts w:ascii="Optima" w:hAnsi="Optima"/>
          <w:sz w:val="24"/>
          <w:szCs w:val="24"/>
        </w:rPr>
        <w:t xml:space="preserve"> </w:t>
      </w:r>
    </w:p>
    <w:p w14:paraId="4C9BD943" w14:textId="77777777" w:rsidR="00D17DC5" w:rsidRPr="002555F6" w:rsidRDefault="00D17DC5" w:rsidP="0068580C">
      <w:pPr>
        <w:spacing w:line="360" w:lineRule="auto"/>
        <w:jc w:val="both"/>
        <w:rPr>
          <w:rFonts w:ascii="Optima" w:hAnsi="Optima"/>
          <w:sz w:val="24"/>
          <w:szCs w:val="24"/>
        </w:rPr>
      </w:pPr>
      <w:r w:rsidRPr="002555F6">
        <w:rPr>
          <w:rFonts w:ascii="Optima" w:hAnsi="Optima"/>
          <w:sz w:val="24"/>
          <w:szCs w:val="24"/>
        </w:rPr>
        <w:t xml:space="preserve">In relation to existing winding-up orders which were made on or after 27 April 2020 but before </w:t>
      </w:r>
      <w:r w:rsidR="003900D7" w:rsidRPr="002555F6">
        <w:rPr>
          <w:rFonts w:ascii="Optima" w:hAnsi="Optima"/>
          <w:sz w:val="24"/>
          <w:szCs w:val="24"/>
        </w:rPr>
        <w:t xml:space="preserve">26 June 2020 (when </w:t>
      </w:r>
      <w:r w:rsidRPr="002555F6">
        <w:rPr>
          <w:rFonts w:ascii="Optima" w:hAnsi="Optima"/>
          <w:sz w:val="24"/>
          <w:szCs w:val="24"/>
        </w:rPr>
        <w:t xml:space="preserve">the </w:t>
      </w:r>
      <w:r w:rsidR="003900D7" w:rsidRPr="002555F6">
        <w:rPr>
          <w:rFonts w:ascii="Optima" w:hAnsi="Optima"/>
          <w:sz w:val="24"/>
          <w:szCs w:val="24"/>
        </w:rPr>
        <w:t xml:space="preserve">Act came </w:t>
      </w:r>
      <w:r w:rsidRPr="002555F6">
        <w:rPr>
          <w:rFonts w:ascii="Optima" w:hAnsi="Optima"/>
          <w:sz w:val="24"/>
          <w:szCs w:val="24"/>
        </w:rPr>
        <w:t>into force</w:t>
      </w:r>
      <w:r w:rsidR="003900D7" w:rsidRPr="002555F6">
        <w:rPr>
          <w:rFonts w:ascii="Optima" w:hAnsi="Optima"/>
          <w:sz w:val="24"/>
          <w:szCs w:val="24"/>
        </w:rPr>
        <w:t>)</w:t>
      </w:r>
      <w:r w:rsidRPr="002555F6">
        <w:rPr>
          <w:rFonts w:ascii="Optima" w:hAnsi="Optima"/>
          <w:sz w:val="24"/>
          <w:szCs w:val="24"/>
        </w:rPr>
        <w:t xml:space="preserve"> which would not have been made if the Court applied the above principles will be considered retrospectively void. </w:t>
      </w:r>
      <w:r w:rsidR="00B842F1" w:rsidRPr="002555F6">
        <w:rPr>
          <w:rFonts w:ascii="Optima" w:hAnsi="Optima"/>
          <w:sz w:val="24"/>
          <w:szCs w:val="24"/>
        </w:rPr>
        <w:t xml:space="preserve">Therefore, there is no need for an application to rescind a winding-up order. However, professional advice should be sought if there is any doubt in relation to a winding-up order which has been made on or after 27 April 2020. </w:t>
      </w:r>
    </w:p>
    <w:p w14:paraId="11EAD07C" w14:textId="77777777" w:rsidR="00092626" w:rsidRPr="002555F6" w:rsidRDefault="00092626" w:rsidP="0068580C">
      <w:pPr>
        <w:spacing w:line="360" w:lineRule="auto"/>
        <w:jc w:val="both"/>
        <w:rPr>
          <w:rFonts w:ascii="Optima" w:hAnsi="Optima"/>
          <w:sz w:val="24"/>
          <w:szCs w:val="24"/>
        </w:rPr>
      </w:pPr>
    </w:p>
    <w:p w14:paraId="784CE329" w14:textId="77777777" w:rsidR="00092626" w:rsidRPr="002555F6" w:rsidRDefault="00E74B5C" w:rsidP="0068580C">
      <w:pPr>
        <w:pStyle w:val="ListParagraph"/>
        <w:numPr>
          <w:ilvl w:val="0"/>
          <w:numId w:val="8"/>
        </w:numPr>
        <w:spacing w:line="360" w:lineRule="auto"/>
        <w:jc w:val="both"/>
        <w:rPr>
          <w:rFonts w:ascii="Optima" w:hAnsi="Optima"/>
        </w:rPr>
      </w:pPr>
      <w:r w:rsidRPr="002555F6">
        <w:rPr>
          <w:rFonts w:ascii="Optima" w:hAnsi="Optima"/>
          <w:b/>
        </w:rPr>
        <w:t xml:space="preserve">The New Insolvency Practice Direction </w:t>
      </w:r>
    </w:p>
    <w:p w14:paraId="38B38BFD" w14:textId="77777777" w:rsidR="00E74B5C" w:rsidRPr="002555F6" w:rsidRDefault="00E74B5C" w:rsidP="0068580C">
      <w:pPr>
        <w:spacing w:line="360" w:lineRule="auto"/>
        <w:jc w:val="both"/>
        <w:rPr>
          <w:rFonts w:ascii="Optima" w:hAnsi="Optima"/>
          <w:sz w:val="24"/>
          <w:szCs w:val="24"/>
        </w:rPr>
      </w:pPr>
    </w:p>
    <w:p w14:paraId="5B0E388F" w14:textId="77777777" w:rsidR="00E74B5C" w:rsidRPr="002555F6" w:rsidRDefault="00E74B5C" w:rsidP="0068580C">
      <w:pPr>
        <w:pStyle w:val="ListParagraph"/>
        <w:numPr>
          <w:ilvl w:val="1"/>
          <w:numId w:val="8"/>
        </w:numPr>
        <w:spacing w:line="360" w:lineRule="auto"/>
        <w:jc w:val="both"/>
        <w:rPr>
          <w:rFonts w:ascii="Optima" w:hAnsi="Optima"/>
        </w:rPr>
      </w:pPr>
      <w:r w:rsidRPr="002555F6">
        <w:rPr>
          <w:rFonts w:ascii="Optima" w:hAnsi="Optima"/>
          <w:b/>
        </w:rPr>
        <w:t>Petitioning Creditor’s statement</w:t>
      </w:r>
      <w:r w:rsidR="00AC2412" w:rsidRPr="002555F6">
        <w:rPr>
          <w:rFonts w:ascii="Optima" w:hAnsi="Optima"/>
          <w:b/>
        </w:rPr>
        <w:t xml:space="preserve"> </w:t>
      </w:r>
    </w:p>
    <w:p w14:paraId="4B9CA303" w14:textId="77777777" w:rsidR="00AC2412" w:rsidRPr="002555F6" w:rsidRDefault="00AC2412" w:rsidP="0068580C">
      <w:pPr>
        <w:spacing w:line="360" w:lineRule="auto"/>
        <w:jc w:val="both"/>
        <w:rPr>
          <w:rFonts w:ascii="Optima" w:hAnsi="Optima"/>
          <w:sz w:val="24"/>
          <w:szCs w:val="24"/>
        </w:rPr>
      </w:pPr>
    </w:p>
    <w:p w14:paraId="5326747E" w14:textId="77777777" w:rsidR="00AC2412" w:rsidRPr="002555F6" w:rsidRDefault="00AC2412" w:rsidP="0068580C">
      <w:pPr>
        <w:spacing w:line="360" w:lineRule="auto"/>
        <w:jc w:val="both"/>
        <w:rPr>
          <w:rFonts w:ascii="Optima" w:hAnsi="Optima"/>
          <w:sz w:val="24"/>
          <w:szCs w:val="24"/>
        </w:rPr>
      </w:pPr>
      <w:r w:rsidRPr="002555F6">
        <w:rPr>
          <w:rFonts w:ascii="Optima" w:hAnsi="Optima"/>
          <w:sz w:val="24"/>
          <w:szCs w:val="24"/>
        </w:rPr>
        <w:t xml:space="preserve">Paragraph 3 of the Practice Direction states that the Court will not accept a winding-up petition unless it contains a statement in accordance with paragraph 19 (3) of Schedule 10 of the </w:t>
      </w:r>
      <w:r w:rsidR="00D02ED4" w:rsidRPr="002555F6">
        <w:rPr>
          <w:rFonts w:ascii="Optima" w:hAnsi="Optima"/>
          <w:sz w:val="24"/>
          <w:szCs w:val="24"/>
        </w:rPr>
        <w:t>Act</w:t>
      </w:r>
      <w:r w:rsidRPr="002555F6">
        <w:rPr>
          <w:rFonts w:ascii="Optima" w:hAnsi="Optima"/>
          <w:sz w:val="24"/>
          <w:szCs w:val="24"/>
        </w:rPr>
        <w:t xml:space="preserve">. In other words, the petition must contain a statement confirming that the ‘coronavirus test’ is met.  </w:t>
      </w:r>
    </w:p>
    <w:p w14:paraId="054FEDC7" w14:textId="77777777" w:rsidR="00E74B5C" w:rsidRPr="002555F6" w:rsidRDefault="00E74B5C" w:rsidP="0068580C">
      <w:pPr>
        <w:pStyle w:val="ListParagraph"/>
        <w:numPr>
          <w:ilvl w:val="1"/>
          <w:numId w:val="8"/>
        </w:numPr>
        <w:spacing w:line="360" w:lineRule="auto"/>
        <w:jc w:val="both"/>
        <w:rPr>
          <w:rFonts w:ascii="Optima" w:hAnsi="Optima"/>
        </w:rPr>
      </w:pPr>
      <w:r w:rsidRPr="002555F6">
        <w:rPr>
          <w:rFonts w:ascii="Optima" w:hAnsi="Optima"/>
          <w:b/>
        </w:rPr>
        <w:t xml:space="preserve">Non Attendance Pre-Trial Review </w:t>
      </w:r>
      <w:r w:rsidR="003455B3" w:rsidRPr="002555F6">
        <w:rPr>
          <w:rFonts w:ascii="Optima" w:hAnsi="Optima"/>
          <w:b/>
        </w:rPr>
        <w:t>(“Non-Attendance PTR”)</w:t>
      </w:r>
    </w:p>
    <w:p w14:paraId="6661A343" w14:textId="77777777" w:rsidR="00AC2412" w:rsidRPr="002555F6" w:rsidRDefault="00AC2412" w:rsidP="0068580C">
      <w:pPr>
        <w:spacing w:line="360" w:lineRule="auto"/>
        <w:jc w:val="both"/>
        <w:rPr>
          <w:rFonts w:ascii="Optima" w:hAnsi="Optima"/>
          <w:sz w:val="24"/>
          <w:szCs w:val="24"/>
        </w:rPr>
      </w:pPr>
    </w:p>
    <w:p w14:paraId="4AC1357A" w14:textId="77777777" w:rsidR="003455B3" w:rsidRPr="002555F6" w:rsidRDefault="00EC1A77" w:rsidP="0068580C">
      <w:pPr>
        <w:spacing w:line="360" w:lineRule="auto"/>
        <w:jc w:val="both"/>
        <w:rPr>
          <w:rFonts w:ascii="Optima" w:hAnsi="Optima"/>
          <w:sz w:val="24"/>
          <w:szCs w:val="24"/>
        </w:rPr>
      </w:pPr>
      <w:r w:rsidRPr="002555F6">
        <w:rPr>
          <w:rFonts w:ascii="Optima" w:hAnsi="Optima"/>
          <w:sz w:val="24"/>
          <w:szCs w:val="24"/>
        </w:rPr>
        <w:lastRenderedPageBreak/>
        <w:t>Pursuant to paragraph 4 of the Practice Direction, a</w:t>
      </w:r>
      <w:r w:rsidR="00AC2412" w:rsidRPr="002555F6">
        <w:rPr>
          <w:rFonts w:ascii="Optima" w:hAnsi="Optima"/>
          <w:sz w:val="24"/>
          <w:szCs w:val="24"/>
        </w:rPr>
        <w:t xml:space="preserve">ll winding-up petitions which contain the statement in compliance with paragraph 3 of the Practice Direction are to be listed for a non-attendance pre-trial review with a time estimate of 15 minutes for the first available date after 28 days from the date of its presentation. </w:t>
      </w:r>
      <w:r w:rsidR="003455B3" w:rsidRPr="002555F6">
        <w:rPr>
          <w:rFonts w:ascii="Optima" w:hAnsi="Optima"/>
          <w:sz w:val="24"/>
          <w:szCs w:val="24"/>
        </w:rPr>
        <w:t>Two days before</w:t>
      </w:r>
      <w:r w:rsidR="0088624E" w:rsidRPr="002555F6">
        <w:rPr>
          <w:rFonts w:ascii="Optima" w:hAnsi="Optima"/>
          <w:sz w:val="24"/>
          <w:szCs w:val="24"/>
        </w:rPr>
        <w:t xml:space="preserve"> the non-attendance PTR, the parties must file a listing certificate including a time estimate for the </w:t>
      </w:r>
      <w:r w:rsidR="003455B3" w:rsidRPr="002555F6">
        <w:rPr>
          <w:rFonts w:ascii="Optima" w:hAnsi="Optima"/>
          <w:sz w:val="24"/>
          <w:szCs w:val="24"/>
        </w:rPr>
        <w:t xml:space="preserve">preliminary hearing. This causes some practical difficulties as in many cases it is unclear to the Petitioner whether the debtor company has or will oppose the petition at the time of filing the listing certificates making it difficult to estimate the length of time that may be required for a preliminary hearing. </w:t>
      </w:r>
    </w:p>
    <w:p w14:paraId="712D77FD" w14:textId="77777777" w:rsidR="0088624E" w:rsidRPr="002555F6" w:rsidRDefault="00AC2412" w:rsidP="0068580C">
      <w:pPr>
        <w:spacing w:line="360" w:lineRule="auto"/>
        <w:jc w:val="both"/>
        <w:rPr>
          <w:rFonts w:ascii="Optima" w:hAnsi="Optima"/>
          <w:sz w:val="24"/>
          <w:szCs w:val="24"/>
        </w:rPr>
      </w:pPr>
      <w:r w:rsidRPr="002555F6">
        <w:rPr>
          <w:rFonts w:ascii="Optima" w:hAnsi="Optima"/>
          <w:sz w:val="24"/>
          <w:szCs w:val="24"/>
        </w:rPr>
        <w:t xml:space="preserve">The purpose of these hearings is for the Court to determine whether to list the petition for a hearing in the winding-up list or </w:t>
      </w:r>
      <w:r w:rsidR="00CA61B6" w:rsidRPr="002555F6">
        <w:rPr>
          <w:rFonts w:ascii="Optima" w:hAnsi="Optima"/>
          <w:sz w:val="24"/>
          <w:szCs w:val="24"/>
        </w:rPr>
        <w:t>for a preliminary hearings</w:t>
      </w:r>
      <w:r w:rsidR="005B031E" w:rsidRPr="002555F6">
        <w:rPr>
          <w:rFonts w:ascii="Optima" w:hAnsi="Optima"/>
          <w:sz w:val="24"/>
          <w:szCs w:val="24"/>
        </w:rPr>
        <w:t xml:space="preserve"> as detailed in paragraph 7 of the Practice Direction</w:t>
      </w:r>
      <w:r w:rsidR="00391026" w:rsidRPr="002555F6">
        <w:rPr>
          <w:rFonts w:ascii="Optima" w:hAnsi="Optima"/>
          <w:sz w:val="24"/>
          <w:szCs w:val="24"/>
        </w:rPr>
        <w:t xml:space="preserve">. </w:t>
      </w:r>
    </w:p>
    <w:p w14:paraId="7861099C" w14:textId="77777777" w:rsidR="002571C1" w:rsidRPr="002555F6" w:rsidRDefault="00391026" w:rsidP="0068580C">
      <w:pPr>
        <w:spacing w:line="360" w:lineRule="auto"/>
        <w:jc w:val="both"/>
        <w:rPr>
          <w:rFonts w:ascii="Optima" w:hAnsi="Optima"/>
          <w:sz w:val="24"/>
          <w:szCs w:val="24"/>
        </w:rPr>
      </w:pPr>
      <w:r w:rsidRPr="002555F6">
        <w:rPr>
          <w:rFonts w:ascii="Optima" w:hAnsi="Optima"/>
          <w:sz w:val="24"/>
          <w:szCs w:val="24"/>
        </w:rPr>
        <w:t>In my experience thus</w:t>
      </w:r>
      <w:r w:rsidR="00CA61B6" w:rsidRPr="002555F6">
        <w:rPr>
          <w:rFonts w:ascii="Optima" w:hAnsi="Optima"/>
          <w:sz w:val="24"/>
          <w:szCs w:val="24"/>
        </w:rPr>
        <w:t xml:space="preserve"> far, if there is no opposition from the debtor company and the Court can satisfy itself that it is likely to make a winding-up order under section 122 (1) (f) or 221 (5) (b) of the </w:t>
      </w:r>
      <w:r w:rsidR="0068580C" w:rsidRPr="002555F6">
        <w:rPr>
          <w:rFonts w:ascii="Optima" w:hAnsi="Optima"/>
          <w:sz w:val="24"/>
          <w:szCs w:val="24"/>
        </w:rPr>
        <w:t xml:space="preserve">Insolvency Act 1986 </w:t>
      </w:r>
      <w:r w:rsidR="00CA61B6" w:rsidRPr="002555F6">
        <w:rPr>
          <w:rFonts w:ascii="Optima" w:hAnsi="Optima"/>
          <w:sz w:val="24"/>
          <w:szCs w:val="24"/>
        </w:rPr>
        <w:t xml:space="preserve">then it will list the petition in the winding-up list. It is worth bearing in mind that since the Petitioner is unable to attend this hearing, the grounds relied upon by the Petitioner for the purposes of the coronavirus test should be abundantly </w:t>
      </w:r>
      <w:r w:rsidR="00CB432E" w:rsidRPr="002555F6">
        <w:rPr>
          <w:rFonts w:ascii="Optima" w:hAnsi="Optima"/>
          <w:sz w:val="24"/>
          <w:szCs w:val="24"/>
        </w:rPr>
        <w:t xml:space="preserve">clear from the Petition. It is advisable to seek professional advice in relation to this as if the grounds are unclear then it may be necessary to </w:t>
      </w:r>
      <w:r w:rsidR="00DB6C1B" w:rsidRPr="002555F6">
        <w:rPr>
          <w:rFonts w:ascii="Optima" w:hAnsi="Optima"/>
          <w:sz w:val="24"/>
          <w:szCs w:val="24"/>
        </w:rPr>
        <w:t xml:space="preserve">take steps to clarify this to the Court in advance of the non-attendance pre-trial review. </w:t>
      </w:r>
      <w:r w:rsidR="00CA61B6" w:rsidRPr="002555F6">
        <w:rPr>
          <w:rFonts w:ascii="Optima" w:hAnsi="Optima"/>
          <w:sz w:val="24"/>
          <w:szCs w:val="24"/>
        </w:rPr>
        <w:t xml:space="preserve"> </w:t>
      </w:r>
    </w:p>
    <w:p w14:paraId="3DBAAAAC" w14:textId="77777777" w:rsidR="008B001A" w:rsidRPr="002555F6" w:rsidRDefault="002571C1" w:rsidP="0068580C">
      <w:pPr>
        <w:pStyle w:val="ListParagraph"/>
        <w:numPr>
          <w:ilvl w:val="1"/>
          <w:numId w:val="8"/>
        </w:numPr>
        <w:spacing w:line="360" w:lineRule="auto"/>
        <w:jc w:val="both"/>
        <w:rPr>
          <w:rFonts w:ascii="Optima" w:hAnsi="Optima"/>
        </w:rPr>
      </w:pPr>
      <w:r w:rsidRPr="002555F6">
        <w:rPr>
          <w:rFonts w:ascii="Optima" w:hAnsi="Optima"/>
          <w:b/>
        </w:rPr>
        <w:t>Preliminary Hearing</w:t>
      </w:r>
      <w:r w:rsidR="00D02ED4" w:rsidRPr="002555F6">
        <w:rPr>
          <w:rFonts w:ascii="Optima" w:hAnsi="Optima"/>
          <w:b/>
        </w:rPr>
        <w:t>s</w:t>
      </w:r>
    </w:p>
    <w:p w14:paraId="3D324BD8" w14:textId="77777777" w:rsidR="00D02ED4" w:rsidRPr="002555F6" w:rsidRDefault="00D02ED4" w:rsidP="0068580C">
      <w:pPr>
        <w:pStyle w:val="ListParagraph"/>
        <w:spacing w:line="360" w:lineRule="auto"/>
        <w:jc w:val="both"/>
        <w:rPr>
          <w:rFonts w:ascii="Optima" w:hAnsi="Optima"/>
          <w:b/>
        </w:rPr>
      </w:pPr>
    </w:p>
    <w:p w14:paraId="4D94829F" w14:textId="77777777" w:rsidR="00D02ED4" w:rsidRPr="002555F6" w:rsidRDefault="00D02ED4" w:rsidP="0068580C">
      <w:pPr>
        <w:spacing w:line="360" w:lineRule="auto"/>
        <w:jc w:val="both"/>
        <w:rPr>
          <w:rFonts w:ascii="Optima" w:hAnsi="Optima"/>
          <w:sz w:val="24"/>
          <w:szCs w:val="24"/>
        </w:rPr>
      </w:pPr>
      <w:r w:rsidRPr="002555F6">
        <w:rPr>
          <w:rFonts w:ascii="Optima" w:hAnsi="Optima"/>
          <w:sz w:val="24"/>
          <w:szCs w:val="24"/>
        </w:rPr>
        <w:t xml:space="preserve">Paragraph 8 provides details of what to expect at a preliminary hearing. Essentially, the Court will determine whether or not the coronavirus test has been met and dismiss or list the petition for a winding-up hearing accordingly. In practice, this has meant the citing of coronavirus as a method of delaying the inevitable but insolvency judges have been robust in dismissing such arguments. Unfortunately, given the scale of financial hardship caused by Covid-19, many companies have been adversely affected and in those cases, winding-up petitions against them have been dismissed. Understandably, the threshold applied has been low. </w:t>
      </w:r>
    </w:p>
    <w:p w14:paraId="5563EFD8" w14:textId="77777777" w:rsidR="00D02ED4" w:rsidRPr="002555F6" w:rsidRDefault="00D02ED4" w:rsidP="0068580C">
      <w:pPr>
        <w:pStyle w:val="ListParagraph"/>
        <w:spacing w:line="360" w:lineRule="auto"/>
        <w:jc w:val="both"/>
        <w:rPr>
          <w:rFonts w:ascii="Optima" w:hAnsi="Optima"/>
        </w:rPr>
      </w:pPr>
    </w:p>
    <w:p w14:paraId="75F50263" w14:textId="77777777" w:rsidR="00D02ED4" w:rsidRPr="002555F6" w:rsidRDefault="00D02ED4" w:rsidP="0068580C">
      <w:pPr>
        <w:pStyle w:val="ListParagraph"/>
        <w:numPr>
          <w:ilvl w:val="1"/>
          <w:numId w:val="8"/>
        </w:numPr>
        <w:spacing w:line="360" w:lineRule="auto"/>
        <w:jc w:val="both"/>
        <w:rPr>
          <w:rFonts w:ascii="Optima" w:hAnsi="Optima"/>
        </w:rPr>
      </w:pPr>
      <w:r w:rsidRPr="002555F6">
        <w:rPr>
          <w:rFonts w:ascii="Optima" w:hAnsi="Optima"/>
          <w:b/>
        </w:rPr>
        <w:t>Petition Hearings</w:t>
      </w:r>
    </w:p>
    <w:p w14:paraId="536996C3" w14:textId="77777777" w:rsidR="00E258FE" w:rsidRPr="002555F6" w:rsidRDefault="00E258FE" w:rsidP="0068580C">
      <w:pPr>
        <w:spacing w:line="360" w:lineRule="auto"/>
        <w:jc w:val="both"/>
        <w:rPr>
          <w:rFonts w:ascii="Optima" w:hAnsi="Optima"/>
          <w:sz w:val="24"/>
          <w:szCs w:val="24"/>
        </w:rPr>
      </w:pPr>
    </w:p>
    <w:p w14:paraId="14C987FD" w14:textId="77777777" w:rsidR="00E258FE" w:rsidRPr="002555F6" w:rsidRDefault="00E258FE" w:rsidP="0068580C">
      <w:pPr>
        <w:spacing w:line="360" w:lineRule="auto"/>
        <w:jc w:val="both"/>
        <w:rPr>
          <w:rFonts w:ascii="Optima" w:hAnsi="Optima"/>
          <w:sz w:val="24"/>
          <w:szCs w:val="24"/>
        </w:rPr>
      </w:pPr>
      <w:r w:rsidRPr="002555F6">
        <w:rPr>
          <w:rFonts w:ascii="Optima" w:hAnsi="Optima"/>
          <w:sz w:val="24"/>
          <w:szCs w:val="24"/>
        </w:rPr>
        <w:t xml:space="preserve">As a result of the provisions of the Act and the Practice Direction, the number of petition hearings has dramatically reduced. The conduct of petition hearings is largely unchanged save that the Courts are concerned to ensure that </w:t>
      </w:r>
      <w:r w:rsidR="00974C96" w:rsidRPr="002555F6">
        <w:rPr>
          <w:rFonts w:ascii="Optima" w:hAnsi="Optima"/>
          <w:sz w:val="24"/>
          <w:szCs w:val="24"/>
        </w:rPr>
        <w:t xml:space="preserve">the coronavirus test has been met and that service upon debtor companies has been done by e-mail in addition to service at the registered office. </w:t>
      </w:r>
    </w:p>
    <w:p w14:paraId="1272C3E3" w14:textId="77777777" w:rsidR="008B001A" w:rsidRPr="002555F6" w:rsidRDefault="008478BF" w:rsidP="0068580C">
      <w:pPr>
        <w:pStyle w:val="ListParagraph"/>
        <w:numPr>
          <w:ilvl w:val="0"/>
          <w:numId w:val="8"/>
        </w:numPr>
        <w:spacing w:line="360" w:lineRule="auto"/>
        <w:jc w:val="both"/>
        <w:rPr>
          <w:rFonts w:ascii="Optima" w:hAnsi="Optima"/>
        </w:rPr>
      </w:pPr>
      <w:r w:rsidRPr="002555F6">
        <w:rPr>
          <w:rFonts w:ascii="Optima" w:hAnsi="Optima"/>
          <w:b/>
        </w:rPr>
        <w:t>Implication</w:t>
      </w:r>
      <w:r w:rsidR="008B001A" w:rsidRPr="002555F6">
        <w:rPr>
          <w:rFonts w:ascii="Optima" w:hAnsi="Optima"/>
          <w:b/>
        </w:rPr>
        <w:t>s</w:t>
      </w:r>
      <w:r w:rsidRPr="002555F6">
        <w:rPr>
          <w:rFonts w:ascii="Optima" w:hAnsi="Optima"/>
          <w:b/>
        </w:rPr>
        <w:t xml:space="preserve"> in Practice</w:t>
      </w:r>
    </w:p>
    <w:p w14:paraId="57D1A02C" w14:textId="77777777" w:rsidR="008B001A" w:rsidRPr="002555F6" w:rsidRDefault="008B001A" w:rsidP="0068580C">
      <w:pPr>
        <w:spacing w:line="360" w:lineRule="auto"/>
        <w:jc w:val="both"/>
        <w:rPr>
          <w:rFonts w:ascii="Optima" w:hAnsi="Optima"/>
          <w:b/>
          <w:sz w:val="24"/>
          <w:szCs w:val="24"/>
        </w:rPr>
      </w:pPr>
    </w:p>
    <w:p w14:paraId="1FFAA77B" w14:textId="77777777" w:rsidR="003455B3" w:rsidRPr="002555F6" w:rsidRDefault="008B001A" w:rsidP="0068580C">
      <w:pPr>
        <w:spacing w:line="360" w:lineRule="auto"/>
        <w:jc w:val="both"/>
        <w:rPr>
          <w:rFonts w:ascii="Optima" w:hAnsi="Optima"/>
          <w:sz w:val="24"/>
          <w:szCs w:val="24"/>
        </w:rPr>
      </w:pPr>
      <w:r w:rsidRPr="002555F6">
        <w:rPr>
          <w:rFonts w:ascii="Optima" w:hAnsi="Optima"/>
          <w:sz w:val="24"/>
          <w:szCs w:val="24"/>
        </w:rPr>
        <w:t>In p</w:t>
      </w:r>
      <w:r w:rsidR="0068580C" w:rsidRPr="002555F6">
        <w:rPr>
          <w:rFonts w:ascii="Optima" w:hAnsi="Optima"/>
          <w:sz w:val="24"/>
          <w:szCs w:val="24"/>
        </w:rPr>
        <w:t xml:space="preserve">ractice, </w:t>
      </w:r>
      <w:r w:rsidRPr="002555F6">
        <w:rPr>
          <w:rFonts w:ascii="Optima" w:hAnsi="Optima"/>
          <w:sz w:val="24"/>
          <w:szCs w:val="24"/>
        </w:rPr>
        <w:t xml:space="preserve">the provisions in the </w:t>
      </w:r>
      <w:r w:rsidR="0068580C" w:rsidRPr="002555F6">
        <w:rPr>
          <w:rFonts w:ascii="Optima" w:hAnsi="Optima"/>
          <w:sz w:val="24"/>
          <w:szCs w:val="24"/>
        </w:rPr>
        <w:t xml:space="preserve">Act and the Practice Direction </w:t>
      </w:r>
      <w:r w:rsidRPr="002555F6">
        <w:rPr>
          <w:rFonts w:ascii="Optima" w:hAnsi="Optima"/>
          <w:sz w:val="24"/>
          <w:szCs w:val="24"/>
        </w:rPr>
        <w:t xml:space="preserve">act as a filter and preserve the winding-up list for cases where a winding up order can be made in compliance with Schedule 10 </w:t>
      </w:r>
      <w:r w:rsidR="006334E3" w:rsidRPr="002555F6">
        <w:rPr>
          <w:rFonts w:ascii="Optima" w:hAnsi="Optima"/>
          <w:sz w:val="24"/>
          <w:szCs w:val="24"/>
        </w:rPr>
        <w:t xml:space="preserve">of </w:t>
      </w:r>
      <w:r w:rsidR="0068580C" w:rsidRPr="002555F6">
        <w:rPr>
          <w:rFonts w:ascii="Optima" w:hAnsi="Optima"/>
          <w:sz w:val="24"/>
          <w:szCs w:val="24"/>
        </w:rPr>
        <w:t>the Act</w:t>
      </w:r>
      <w:r w:rsidR="006334E3" w:rsidRPr="002555F6">
        <w:rPr>
          <w:rFonts w:ascii="Optima" w:hAnsi="Optima"/>
          <w:sz w:val="24"/>
          <w:szCs w:val="24"/>
        </w:rPr>
        <w:t xml:space="preserve">. As all winding-up petitions are now subject to a </w:t>
      </w:r>
      <w:r w:rsidR="00446EF0" w:rsidRPr="002555F6">
        <w:rPr>
          <w:rFonts w:ascii="Optima" w:hAnsi="Optima"/>
          <w:sz w:val="24"/>
          <w:szCs w:val="24"/>
        </w:rPr>
        <w:t xml:space="preserve">non-attendance pre-trial review and potentially a preliminary hearing before reaching the winding-up list, it does take considerably </w:t>
      </w:r>
      <w:r w:rsidR="0068580C" w:rsidRPr="002555F6">
        <w:rPr>
          <w:rFonts w:ascii="Optima" w:hAnsi="Optima"/>
          <w:sz w:val="24"/>
          <w:szCs w:val="24"/>
        </w:rPr>
        <w:t xml:space="preserve">longer to complete the process. </w:t>
      </w:r>
      <w:r w:rsidR="00446EF0" w:rsidRPr="002555F6">
        <w:rPr>
          <w:rFonts w:ascii="Optima" w:hAnsi="Optima"/>
          <w:sz w:val="24"/>
          <w:szCs w:val="24"/>
        </w:rPr>
        <w:t>However, the advantage of this is that</w:t>
      </w:r>
      <w:r w:rsidR="003455B3" w:rsidRPr="002555F6">
        <w:rPr>
          <w:rFonts w:ascii="Optima" w:hAnsi="Optima"/>
          <w:sz w:val="24"/>
          <w:szCs w:val="24"/>
        </w:rPr>
        <w:t xml:space="preserve"> it allows more time for debtor companies to settle the Petition debt. </w:t>
      </w:r>
    </w:p>
    <w:p w14:paraId="6DF7D7F2" w14:textId="77777777" w:rsidR="00A37A63" w:rsidRPr="002555F6" w:rsidRDefault="003455B3" w:rsidP="0068580C">
      <w:pPr>
        <w:spacing w:line="360" w:lineRule="auto"/>
        <w:jc w:val="both"/>
        <w:rPr>
          <w:rFonts w:ascii="Optima" w:hAnsi="Optima"/>
          <w:b/>
          <w:sz w:val="24"/>
          <w:szCs w:val="24"/>
        </w:rPr>
      </w:pPr>
      <w:r w:rsidRPr="002555F6">
        <w:rPr>
          <w:rFonts w:ascii="Optima" w:hAnsi="Optima"/>
          <w:sz w:val="24"/>
          <w:szCs w:val="24"/>
        </w:rPr>
        <w:t xml:space="preserve">As it stands, </w:t>
      </w:r>
      <w:r w:rsidR="0068580C" w:rsidRPr="002555F6">
        <w:rPr>
          <w:rFonts w:ascii="Optima" w:hAnsi="Optima"/>
          <w:sz w:val="24"/>
          <w:szCs w:val="24"/>
        </w:rPr>
        <w:t>the relevant provisions in the Act</w:t>
      </w:r>
      <w:r w:rsidRPr="002555F6">
        <w:rPr>
          <w:rFonts w:ascii="Optima" w:hAnsi="Optima"/>
          <w:sz w:val="24"/>
          <w:szCs w:val="24"/>
        </w:rPr>
        <w:t xml:space="preserve"> and the Practice Direction are in force until 3</w:t>
      </w:r>
      <w:r w:rsidR="00566B65" w:rsidRPr="002555F6">
        <w:rPr>
          <w:rFonts w:ascii="Optima" w:hAnsi="Optima"/>
          <w:sz w:val="24"/>
          <w:szCs w:val="24"/>
        </w:rPr>
        <w:t xml:space="preserve">0 September 2020. </w:t>
      </w:r>
      <w:r w:rsidR="0068580C" w:rsidRPr="002555F6">
        <w:rPr>
          <w:rFonts w:ascii="Optima" w:hAnsi="Optima"/>
          <w:sz w:val="24"/>
          <w:szCs w:val="24"/>
        </w:rPr>
        <w:t xml:space="preserve">Whilst the Government has the power to extend the period that both are in force, there has been no announcement to this effect yet. </w:t>
      </w:r>
      <w:r w:rsidR="00BB7B44" w:rsidRPr="002555F6">
        <w:rPr>
          <w:rFonts w:ascii="Optima" w:hAnsi="Optima"/>
          <w:sz w:val="24"/>
          <w:szCs w:val="24"/>
        </w:rPr>
        <w:t>As we have learned over the past few months, that does not rule out the possibility of an announcement closer to the time so watch this space….</w:t>
      </w:r>
    </w:p>
    <w:p w14:paraId="58245CF1" w14:textId="77777777" w:rsidR="00566B65" w:rsidRPr="002555F6" w:rsidRDefault="00566B65" w:rsidP="00566B65">
      <w:pPr>
        <w:spacing w:line="360" w:lineRule="auto"/>
        <w:rPr>
          <w:rFonts w:ascii="Optima" w:hAnsi="Optima"/>
          <w:sz w:val="24"/>
          <w:szCs w:val="24"/>
        </w:rPr>
      </w:pPr>
    </w:p>
    <w:p w14:paraId="060E7779" w14:textId="77777777" w:rsidR="00A37A63" w:rsidRPr="002555F6" w:rsidRDefault="00A37A63" w:rsidP="00A37A63">
      <w:pPr>
        <w:spacing w:line="360" w:lineRule="auto"/>
        <w:rPr>
          <w:rFonts w:ascii="Optima" w:hAnsi="Optima"/>
          <w:b/>
          <w:sz w:val="24"/>
          <w:szCs w:val="24"/>
        </w:rPr>
      </w:pPr>
      <w:r w:rsidRPr="002555F6">
        <w:rPr>
          <w:rFonts w:ascii="Optima" w:hAnsi="Optima"/>
          <w:b/>
          <w:sz w:val="24"/>
          <w:szCs w:val="24"/>
        </w:rPr>
        <w:t>Ruhi Sethi-Smith</w:t>
      </w:r>
    </w:p>
    <w:p w14:paraId="740A2256" w14:textId="77777777" w:rsidR="00A37A63" w:rsidRPr="002555F6" w:rsidRDefault="00A37A63" w:rsidP="00A37A63">
      <w:pPr>
        <w:spacing w:line="360" w:lineRule="auto"/>
        <w:rPr>
          <w:rFonts w:ascii="Optima" w:hAnsi="Optima"/>
          <w:sz w:val="24"/>
          <w:szCs w:val="24"/>
        </w:rPr>
      </w:pPr>
      <w:r w:rsidRPr="002555F6">
        <w:rPr>
          <w:rFonts w:ascii="Optima" w:hAnsi="Optima"/>
          <w:sz w:val="24"/>
          <w:szCs w:val="24"/>
        </w:rPr>
        <w:t>Forum Chambers</w:t>
      </w:r>
    </w:p>
    <w:p w14:paraId="43D44516" w14:textId="77777777" w:rsidR="00A37A63" w:rsidRPr="002555F6" w:rsidRDefault="00FC4285" w:rsidP="00A37A63">
      <w:pPr>
        <w:spacing w:line="360" w:lineRule="auto"/>
        <w:rPr>
          <w:rFonts w:ascii="Optima" w:hAnsi="Optima"/>
          <w:sz w:val="24"/>
          <w:szCs w:val="24"/>
        </w:rPr>
      </w:pPr>
      <w:hyperlink r:id="rId5" w:history="1">
        <w:r w:rsidR="00CA1A9A" w:rsidRPr="002555F6">
          <w:rPr>
            <w:rStyle w:val="Hyperlink"/>
            <w:rFonts w:ascii="Optima" w:hAnsi="Optima"/>
            <w:sz w:val="24"/>
            <w:szCs w:val="24"/>
          </w:rPr>
          <w:t>rsethi-smith@forumchambers.com</w:t>
        </w:r>
      </w:hyperlink>
    </w:p>
    <w:p w14:paraId="416B42F8" w14:textId="77777777" w:rsidR="00A37A63" w:rsidRPr="002555F6" w:rsidRDefault="00A37A63" w:rsidP="00F8325B">
      <w:pPr>
        <w:spacing w:line="360" w:lineRule="auto"/>
        <w:jc w:val="both"/>
        <w:rPr>
          <w:rFonts w:ascii="Optima" w:hAnsi="Optima"/>
          <w:sz w:val="24"/>
          <w:szCs w:val="24"/>
        </w:rPr>
      </w:pPr>
      <w:r w:rsidRPr="002555F6">
        <w:rPr>
          <w:rFonts w:ascii="Optima" w:hAnsi="Optima"/>
          <w:sz w:val="24"/>
          <w:szCs w:val="24"/>
        </w:rPr>
        <w:t>THIS ARTICLE IS NOT INTENDED AS AND SHOULD NOT BE TAKEN AS CONSTITUTING LEGAL ADVICE. Members of Forum Chambers advise regularly in relation to insolvency matters and if we can be of any assistance, please do get in touch with us on the usual phone numbers and email addresses.</w:t>
      </w:r>
    </w:p>
    <w:p w14:paraId="4AF5061A" w14:textId="77777777" w:rsidR="00A37A63" w:rsidRPr="002555F6" w:rsidRDefault="00A37A63" w:rsidP="00A37A63">
      <w:pPr>
        <w:spacing w:line="360" w:lineRule="auto"/>
        <w:rPr>
          <w:rFonts w:ascii="Optima" w:hAnsi="Optima"/>
          <w:sz w:val="24"/>
          <w:szCs w:val="24"/>
        </w:rPr>
      </w:pPr>
      <w:r w:rsidRPr="002555F6">
        <w:rPr>
          <w:rFonts w:ascii="Optima" w:hAnsi="Optima"/>
          <w:sz w:val="24"/>
          <w:szCs w:val="24"/>
        </w:rPr>
        <w:lastRenderedPageBreak/>
        <w:t>020 3735 8070</w:t>
      </w:r>
    </w:p>
    <w:p w14:paraId="34F7DD67" w14:textId="77777777" w:rsidR="00A37A63" w:rsidRPr="002555F6" w:rsidRDefault="00FC4285" w:rsidP="00A37A63">
      <w:pPr>
        <w:spacing w:line="360" w:lineRule="auto"/>
        <w:rPr>
          <w:rFonts w:ascii="Optima" w:hAnsi="Optima"/>
          <w:sz w:val="24"/>
          <w:szCs w:val="24"/>
        </w:rPr>
      </w:pPr>
      <w:hyperlink r:id="rId6" w:history="1">
        <w:r w:rsidR="00F8325B" w:rsidRPr="002555F6">
          <w:rPr>
            <w:rStyle w:val="Hyperlink"/>
            <w:rFonts w:ascii="Optima" w:hAnsi="Optima"/>
            <w:sz w:val="24"/>
            <w:szCs w:val="24"/>
          </w:rPr>
          <w:t>clerks@forumchambers.com</w:t>
        </w:r>
      </w:hyperlink>
      <w:r w:rsidR="00F8325B" w:rsidRPr="002555F6">
        <w:rPr>
          <w:rFonts w:ascii="Optima" w:hAnsi="Optima"/>
          <w:sz w:val="24"/>
          <w:szCs w:val="24"/>
        </w:rPr>
        <w:t xml:space="preserve"> </w:t>
      </w:r>
    </w:p>
    <w:p w14:paraId="23F5769C" w14:textId="77777777" w:rsidR="00EF272C" w:rsidRPr="00EF272C" w:rsidRDefault="00EF272C"/>
    <w:sectPr w:rsidR="00EF272C" w:rsidRPr="00EF2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0A"/>
    <w:multiLevelType w:val="hybridMultilevel"/>
    <w:tmpl w:val="39EC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E5D84"/>
    <w:multiLevelType w:val="hybridMultilevel"/>
    <w:tmpl w:val="9A38EF9A"/>
    <w:lvl w:ilvl="0" w:tplc="65B09EF6">
      <w:start w:val="1"/>
      <w:numFmt w:val="bullet"/>
      <w:lvlText w:val="•"/>
      <w:lvlJc w:val="left"/>
      <w:pPr>
        <w:tabs>
          <w:tab w:val="num" w:pos="720"/>
        </w:tabs>
        <w:ind w:left="720" w:hanging="360"/>
      </w:pPr>
      <w:rPr>
        <w:rFonts w:ascii="Arial" w:hAnsi="Arial" w:hint="default"/>
      </w:rPr>
    </w:lvl>
    <w:lvl w:ilvl="1" w:tplc="E92AAC84" w:tentative="1">
      <w:start w:val="1"/>
      <w:numFmt w:val="bullet"/>
      <w:lvlText w:val="•"/>
      <w:lvlJc w:val="left"/>
      <w:pPr>
        <w:tabs>
          <w:tab w:val="num" w:pos="1440"/>
        </w:tabs>
        <w:ind w:left="1440" w:hanging="360"/>
      </w:pPr>
      <w:rPr>
        <w:rFonts w:ascii="Arial" w:hAnsi="Arial" w:hint="default"/>
      </w:rPr>
    </w:lvl>
    <w:lvl w:ilvl="2" w:tplc="F9C48C9C" w:tentative="1">
      <w:start w:val="1"/>
      <w:numFmt w:val="bullet"/>
      <w:lvlText w:val="•"/>
      <w:lvlJc w:val="left"/>
      <w:pPr>
        <w:tabs>
          <w:tab w:val="num" w:pos="2160"/>
        </w:tabs>
        <w:ind w:left="2160" w:hanging="360"/>
      </w:pPr>
      <w:rPr>
        <w:rFonts w:ascii="Arial" w:hAnsi="Arial" w:hint="default"/>
      </w:rPr>
    </w:lvl>
    <w:lvl w:ilvl="3" w:tplc="C616F566" w:tentative="1">
      <w:start w:val="1"/>
      <w:numFmt w:val="bullet"/>
      <w:lvlText w:val="•"/>
      <w:lvlJc w:val="left"/>
      <w:pPr>
        <w:tabs>
          <w:tab w:val="num" w:pos="2880"/>
        </w:tabs>
        <w:ind w:left="2880" w:hanging="360"/>
      </w:pPr>
      <w:rPr>
        <w:rFonts w:ascii="Arial" w:hAnsi="Arial" w:hint="default"/>
      </w:rPr>
    </w:lvl>
    <w:lvl w:ilvl="4" w:tplc="FAE4BE74" w:tentative="1">
      <w:start w:val="1"/>
      <w:numFmt w:val="bullet"/>
      <w:lvlText w:val="•"/>
      <w:lvlJc w:val="left"/>
      <w:pPr>
        <w:tabs>
          <w:tab w:val="num" w:pos="3600"/>
        </w:tabs>
        <w:ind w:left="3600" w:hanging="360"/>
      </w:pPr>
      <w:rPr>
        <w:rFonts w:ascii="Arial" w:hAnsi="Arial" w:hint="default"/>
      </w:rPr>
    </w:lvl>
    <w:lvl w:ilvl="5" w:tplc="DE867FFC" w:tentative="1">
      <w:start w:val="1"/>
      <w:numFmt w:val="bullet"/>
      <w:lvlText w:val="•"/>
      <w:lvlJc w:val="left"/>
      <w:pPr>
        <w:tabs>
          <w:tab w:val="num" w:pos="4320"/>
        </w:tabs>
        <w:ind w:left="4320" w:hanging="360"/>
      </w:pPr>
      <w:rPr>
        <w:rFonts w:ascii="Arial" w:hAnsi="Arial" w:hint="default"/>
      </w:rPr>
    </w:lvl>
    <w:lvl w:ilvl="6" w:tplc="4EAA2222" w:tentative="1">
      <w:start w:val="1"/>
      <w:numFmt w:val="bullet"/>
      <w:lvlText w:val="•"/>
      <w:lvlJc w:val="left"/>
      <w:pPr>
        <w:tabs>
          <w:tab w:val="num" w:pos="5040"/>
        </w:tabs>
        <w:ind w:left="5040" w:hanging="360"/>
      </w:pPr>
      <w:rPr>
        <w:rFonts w:ascii="Arial" w:hAnsi="Arial" w:hint="default"/>
      </w:rPr>
    </w:lvl>
    <w:lvl w:ilvl="7" w:tplc="DAAED9BC" w:tentative="1">
      <w:start w:val="1"/>
      <w:numFmt w:val="bullet"/>
      <w:lvlText w:val="•"/>
      <w:lvlJc w:val="left"/>
      <w:pPr>
        <w:tabs>
          <w:tab w:val="num" w:pos="5760"/>
        </w:tabs>
        <w:ind w:left="5760" w:hanging="360"/>
      </w:pPr>
      <w:rPr>
        <w:rFonts w:ascii="Arial" w:hAnsi="Arial" w:hint="default"/>
      </w:rPr>
    </w:lvl>
    <w:lvl w:ilvl="8" w:tplc="9C4453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D90E5A"/>
    <w:multiLevelType w:val="hybridMultilevel"/>
    <w:tmpl w:val="7090D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A5EA7"/>
    <w:multiLevelType w:val="hybridMultilevel"/>
    <w:tmpl w:val="CE064E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26427"/>
    <w:multiLevelType w:val="multilevel"/>
    <w:tmpl w:val="0206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26CAD"/>
    <w:multiLevelType w:val="hybridMultilevel"/>
    <w:tmpl w:val="4CCE0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E496E"/>
    <w:multiLevelType w:val="hybridMultilevel"/>
    <w:tmpl w:val="9D44E496"/>
    <w:lvl w:ilvl="0" w:tplc="FC7479AA">
      <w:start w:val="1"/>
      <w:numFmt w:val="bullet"/>
      <w:lvlText w:val="•"/>
      <w:lvlJc w:val="left"/>
      <w:pPr>
        <w:tabs>
          <w:tab w:val="num" w:pos="720"/>
        </w:tabs>
        <w:ind w:left="720" w:hanging="360"/>
      </w:pPr>
      <w:rPr>
        <w:rFonts w:ascii="Arial" w:hAnsi="Arial" w:hint="default"/>
      </w:rPr>
    </w:lvl>
    <w:lvl w:ilvl="1" w:tplc="EF5EB154" w:tentative="1">
      <w:start w:val="1"/>
      <w:numFmt w:val="bullet"/>
      <w:lvlText w:val="•"/>
      <w:lvlJc w:val="left"/>
      <w:pPr>
        <w:tabs>
          <w:tab w:val="num" w:pos="1440"/>
        </w:tabs>
        <w:ind w:left="1440" w:hanging="360"/>
      </w:pPr>
      <w:rPr>
        <w:rFonts w:ascii="Arial" w:hAnsi="Arial" w:hint="default"/>
      </w:rPr>
    </w:lvl>
    <w:lvl w:ilvl="2" w:tplc="670CD3F6" w:tentative="1">
      <w:start w:val="1"/>
      <w:numFmt w:val="bullet"/>
      <w:lvlText w:val="•"/>
      <w:lvlJc w:val="left"/>
      <w:pPr>
        <w:tabs>
          <w:tab w:val="num" w:pos="2160"/>
        </w:tabs>
        <w:ind w:left="2160" w:hanging="360"/>
      </w:pPr>
      <w:rPr>
        <w:rFonts w:ascii="Arial" w:hAnsi="Arial" w:hint="default"/>
      </w:rPr>
    </w:lvl>
    <w:lvl w:ilvl="3" w:tplc="04B03124" w:tentative="1">
      <w:start w:val="1"/>
      <w:numFmt w:val="bullet"/>
      <w:lvlText w:val="•"/>
      <w:lvlJc w:val="left"/>
      <w:pPr>
        <w:tabs>
          <w:tab w:val="num" w:pos="2880"/>
        </w:tabs>
        <w:ind w:left="2880" w:hanging="360"/>
      </w:pPr>
      <w:rPr>
        <w:rFonts w:ascii="Arial" w:hAnsi="Arial" w:hint="default"/>
      </w:rPr>
    </w:lvl>
    <w:lvl w:ilvl="4" w:tplc="90A823F6" w:tentative="1">
      <w:start w:val="1"/>
      <w:numFmt w:val="bullet"/>
      <w:lvlText w:val="•"/>
      <w:lvlJc w:val="left"/>
      <w:pPr>
        <w:tabs>
          <w:tab w:val="num" w:pos="3600"/>
        </w:tabs>
        <w:ind w:left="3600" w:hanging="360"/>
      </w:pPr>
      <w:rPr>
        <w:rFonts w:ascii="Arial" w:hAnsi="Arial" w:hint="default"/>
      </w:rPr>
    </w:lvl>
    <w:lvl w:ilvl="5" w:tplc="E02A31F0" w:tentative="1">
      <w:start w:val="1"/>
      <w:numFmt w:val="bullet"/>
      <w:lvlText w:val="•"/>
      <w:lvlJc w:val="left"/>
      <w:pPr>
        <w:tabs>
          <w:tab w:val="num" w:pos="4320"/>
        </w:tabs>
        <w:ind w:left="4320" w:hanging="360"/>
      </w:pPr>
      <w:rPr>
        <w:rFonts w:ascii="Arial" w:hAnsi="Arial" w:hint="default"/>
      </w:rPr>
    </w:lvl>
    <w:lvl w:ilvl="6" w:tplc="4D9EF544" w:tentative="1">
      <w:start w:val="1"/>
      <w:numFmt w:val="bullet"/>
      <w:lvlText w:val="•"/>
      <w:lvlJc w:val="left"/>
      <w:pPr>
        <w:tabs>
          <w:tab w:val="num" w:pos="5040"/>
        </w:tabs>
        <w:ind w:left="5040" w:hanging="360"/>
      </w:pPr>
      <w:rPr>
        <w:rFonts w:ascii="Arial" w:hAnsi="Arial" w:hint="default"/>
      </w:rPr>
    </w:lvl>
    <w:lvl w:ilvl="7" w:tplc="E1C00C6E" w:tentative="1">
      <w:start w:val="1"/>
      <w:numFmt w:val="bullet"/>
      <w:lvlText w:val="•"/>
      <w:lvlJc w:val="left"/>
      <w:pPr>
        <w:tabs>
          <w:tab w:val="num" w:pos="5760"/>
        </w:tabs>
        <w:ind w:left="5760" w:hanging="360"/>
      </w:pPr>
      <w:rPr>
        <w:rFonts w:ascii="Arial" w:hAnsi="Arial" w:hint="default"/>
      </w:rPr>
    </w:lvl>
    <w:lvl w:ilvl="8" w:tplc="2E7223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65661E"/>
    <w:multiLevelType w:val="multilevel"/>
    <w:tmpl w:val="ADC2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0206E"/>
    <w:multiLevelType w:val="hybridMultilevel"/>
    <w:tmpl w:val="890E5C86"/>
    <w:lvl w:ilvl="0" w:tplc="2CC6F7A8">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00721"/>
    <w:multiLevelType w:val="multilevel"/>
    <w:tmpl w:val="4CBE7D74"/>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16E219C"/>
    <w:multiLevelType w:val="hybridMultilevel"/>
    <w:tmpl w:val="43069C68"/>
    <w:lvl w:ilvl="0" w:tplc="F234657E">
      <w:start w:val="1"/>
      <w:numFmt w:val="bullet"/>
      <w:lvlText w:val=""/>
      <w:lvlJc w:val="left"/>
      <w:pPr>
        <w:tabs>
          <w:tab w:val="num" w:pos="720"/>
        </w:tabs>
        <w:ind w:left="720" w:hanging="360"/>
      </w:pPr>
      <w:rPr>
        <w:rFonts w:ascii="Wingdings" w:hAnsi="Wingdings" w:hint="default"/>
      </w:rPr>
    </w:lvl>
    <w:lvl w:ilvl="1" w:tplc="EB467AB6" w:tentative="1">
      <w:start w:val="1"/>
      <w:numFmt w:val="bullet"/>
      <w:lvlText w:val=""/>
      <w:lvlJc w:val="left"/>
      <w:pPr>
        <w:tabs>
          <w:tab w:val="num" w:pos="1440"/>
        </w:tabs>
        <w:ind w:left="1440" w:hanging="360"/>
      </w:pPr>
      <w:rPr>
        <w:rFonts w:ascii="Wingdings" w:hAnsi="Wingdings" w:hint="default"/>
      </w:rPr>
    </w:lvl>
    <w:lvl w:ilvl="2" w:tplc="04D4B146" w:tentative="1">
      <w:start w:val="1"/>
      <w:numFmt w:val="bullet"/>
      <w:lvlText w:val=""/>
      <w:lvlJc w:val="left"/>
      <w:pPr>
        <w:tabs>
          <w:tab w:val="num" w:pos="2160"/>
        </w:tabs>
        <w:ind w:left="2160" w:hanging="360"/>
      </w:pPr>
      <w:rPr>
        <w:rFonts w:ascii="Wingdings" w:hAnsi="Wingdings" w:hint="default"/>
      </w:rPr>
    </w:lvl>
    <w:lvl w:ilvl="3" w:tplc="46E88916" w:tentative="1">
      <w:start w:val="1"/>
      <w:numFmt w:val="bullet"/>
      <w:lvlText w:val=""/>
      <w:lvlJc w:val="left"/>
      <w:pPr>
        <w:tabs>
          <w:tab w:val="num" w:pos="2880"/>
        </w:tabs>
        <w:ind w:left="2880" w:hanging="360"/>
      </w:pPr>
      <w:rPr>
        <w:rFonts w:ascii="Wingdings" w:hAnsi="Wingdings" w:hint="default"/>
      </w:rPr>
    </w:lvl>
    <w:lvl w:ilvl="4" w:tplc="B66AB0C0" w:tentative="1">
      <w:start w:val="1"/>
      <w:numFmt w:val="bullet"/>
      <w:lvlText w:val=""/>
      <w:lvlJc w:val="left"/>
      <w:pPr>
        <w:tabs>
          <w:tab w:val="num" w:pos="3600"/>
        </w:tabs>
        <w:ind w:left="3600" w:hanging="360"/>
      </w:pPr>
      <w:rPr>
        <w:rFonts w:ascii="Wingdings" w:hAnsi="Wingdings" w:hint="default"/>
      </w:rPr>
    </w:lvl>
    <w:lvl w:ilvl="5" w:tplc="4E462B22" w:tentative="1">
      <w:start w:val="1"/>
      <w:numFmt w:val="bullet"/>
      <w:lvlText w:val=""/>
      <w:lvlJc w:val="left"/>
      <w:pPr>
        <w:tabs>
          <w:tab w:val="num" w:pos="4320"/>
        </w:tabs>
        <w:ind w:left="4320" w:hanging="360"/>
      </w:pPr>
      <w:rPr>
        <w:rFonts w:ascii="Wingdings" w:hAnsi="Wingdings" w:hint="default"/>
      </w:rPr>
    </w:lvl>
    <w:lvl w:ilvl="6" w:tplc="1EC6148E" w:tentative="1">
      <w:start w:val="1"/>
      <w:numFmt w:val="bullet"/>
      <w:lvlText w:val=""/>
      <w:lvlJc w:val="left"/>
      <w:pPr>
        <w:tabs>
          <w:tab w:val="num" w:pos="5040"/>
        </w:tabs>
        <w:ind w:left="5040" w:hanging="360"/>
      </w:pPr>
      <w:rPr>
        <w:rFonts w:ascii="Wingdings" w:hAnsi="Wingdings" w:hint="default"/>
      </w:rPr>
    </w:lvl>
    <w:lvl w:ilvl="7" w:tplc="D94E3E6C" w:tentative="1">
      <w:start w:val="1"/>
      <w:numFmt w:val="bullet"/>
      <w:lvlText w:val=""/>
      <w:lvlJc w:val="left"/>
      <w:pPr>
        <w:tabs>
          <w:tab w:val="num" w:pos="5760"/>
        </w:tabs>
        <w:ind w:left="5760" w:hanging="360"/>
      </w:pPr>
      <w:rPr>
        <w:rFonts w:ascii="Wingdings" w:hAnsi="Wingdings" w:hint="default"/>
      </w:rPr>
    </w:lvl>
    <w:lvl w:ilvl="8" w:tplc="06C299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F6EBF"/>
    <w:multiLevelType w:val="hybridMultilevel"/>
    <w:tmpl w:val="E494828E"/>
    <w:lvl w:ilvl="0" w:tplc="E604AE8A">
      <w:start w:val="1"/>
      <w:numFmt w:val="bullet"/>
      <w:lvlText w:val=""/>
      <w:lvlJc w:val="left"/>
      <w:pPr>
        <w:tabs>
          <w:tab w:val="num" w:pos="720"/>
        </w:tabs>
        <w:ind w:left="720" w:hanging="360"/>
      </w:pPr>
      <w:rPr>
        <w:rFonts w:ascii="Wingdings" w:hAnsi="Wingdings" w:hint="default"/>
      </w:rPr>
    </w:lvl>
    <w:lvl w:ilvl="1" w:tplc="71985F26" w:tentative="1">
      <w:start w:val="1"/>
      <w:numFmt w:val="bullet"/>
      <w:lvlText w:val=""/>
      <w:lvlJc w:val="left"/>
      <w:pPr>
        <w:tabs>
          <w:tab w:val="num" w:pos="1440"/>
        </w:tabs>
        <w:ind w:left="1440" w:hanging="360"/>
      </w:pPr>
      <w:rPr>
        <w:rFonts w:ascii="Wingdings" w:hAnsi="Wingdings" w:hint="default"/>
      </w:rPr>
    </w:lvl>
    <w:lvl w:ilvl="2" w:tplc="9AD8EA78" w:tentative="1">
      <w:start w:val="1"/>
      <w:numFmt w:val="bullet"/>
      <w:lvlText w:val=""/>
      <w:lvlJc w:val="left"/>
      <w:pPr>
        <w:tabs>
          <w:tab w:val="num" w:pos="2160"/>
        </w:tabs>
        <w:ind w:left="2160" w:hanging="360"/>
      </w:pPr>
      <w:rPr>
        <w:rFonts w:ascii="Wingdings" w:hAnsi="Wingdings" w:hint="default"/>
      </w:rPr>
    </w:lvl>
    <w:lvl w:ilvl="3" w:tplc="9FBA38FC" w:tentative="1">
      <w:start w:val="1"/>
      <w:numFmt w:val="bullet"/>
      <w:lvlText w:val=""/>
      <w:lvlJc w:val="left"/>
      <w:pPr>
        <w:tabs>
          <w:tab w:val="num" w:pos="2880"/>
        </w:tabs>
        <w:ind w:left="2880" w:hanging="360"/>
      </w:pPr>
      <w:rPr>
        <w:rFonts w:ascii="Wingdings" w:hAnsi="Wingdings" w:hint="default"/>
      </w:rPr>
    </w:lvl>
    <w:lvl w:ilvl="4" w:tplc="95683B00" w:tentative="1">
      <w:start w:val="1"/>
      <w:numFmt w:val="bullet"/>
      <w:lvlText w:val=""/>
      <w:lvlJc w:val="left"/>
      <w:pPr>
        <w:tabs>
          <w:tab w:val="num" w:pos="3600"/>
        </w:tabs>
        <w:ind w:left="3600" w:hanging="360"/>
      </w:pPr>
      <w:rPr>
        <w:rFonts w:ascii="Wingdings" w:hAnsi="Wingdings" w:hint="default"/>
      </w:rPr>
    </w:lvl>
    <w:lvl w:ilvl="5" w:tplc="EBEA1C74" w:tentative="1">
      <w:start w:val="1"/>
      <w:numFmt w:val="bullet"/>
      <w:lvlText w:val=""/>
      <w:lvlJc w:val="left"/>
      <w:pPr>
        <w:tabs>
          <w:tab w:val="num" w:pos="4320"/>
        </w:tabs>
        <w:ind w:left="4320" w:hanging="360"/>
      </w:pPr>
      <w:rPr>
        <w:rFonts w:ascii="Wingdings" w:hAnsi="Wingdings" w:hint="default"/>
      </w:rPr>
    </w:lvl>
    <w:lvl w:ilvl="6" w:tplc="099A9C88" w:tentative="1">
      <w:start w:val="1"/>
      <w:numFmt w:val="bullet"/>
      <w:lvlText w:val=""/>
      <w:lvlJc w:val="left"/>
      <w:pPr>
        <w:tabs>
          <w:tab w:val="num" w:pos="5040"/>
        </w:tabs>
        <w:ind w:left="5040" w:hanging="360"/>
      </w:pPr>
      <w:rPr>
        <w:rFonts w:ascii="Wingdings" w:hAnsi="Wingdings" w:hint="default"/>
      </w:rPr>
    </w:lvl>
    <w:lvl w:ilvl="7" w:tplc="8A52CE26" w:tentative="1">
      <w:start w:val="1"/>
      <w:numFmt w:val="bullet"/>
      <w:lvlText w:val=""/>
      <w:lvlJc w:val="left"/>
      <w:pPr>
        <w:tabs>
          <w:tab w:val="num" w:pos="5760"/>
        </w:tabs>
        <w:ind w:left="5760" w:hanging="360"/>
      </w:pPr>
      <w:rPr>
        <w:rFonts w:ascii="Wingdings" w:hAnsi="Wingdings" w:hint="default"/>
      </w:rPr>
    </w:lvl>
    <w:lvl w:ilvl="8" w:tplc="0674F3AE"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10"/>
  </w:num>
  <w:num w:numId="6">
    <w:abstractNumId w:val="4"/>
  </w:num>
  <w:num w:numId="7">
    <w:abstractNumId w:val="6"/>
  </w:num>
  <w:num w:numId="8">
    <w:abstractNumId w:val="9"/>
  </w:num>
  <w:num w:numId="9">
    <w:abstractNumId w:val="11"/>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2C"/>
    <w:rsid w:val="000163C8"/>
    <w:rsid w:val="0007607F"/>
    <w:rsid w:val="000915AD"/>
    <w:rsid w:val="00092626"/>
    <w:rsid w:val="000B2A7B"/>
    <w:rsid w:val="000D63B6"/>
    <w:rsid w:val="000E1D3C"/>
    <w:rsid w:val="000E7029"/>
    <w:rsid w:val="002555F6"/>
    <w:rsid w:val="002564B2"/>
    <w:rsid w:val="002571C1"/>
    <w:rsid w:val="0027087A"/>
    <w:rsid w:val="00292523"/>
    <w:rsid w:val="002B71B0"/>
    <w:rsid w:val="00330D77"/>
    <w:rsid w:val="00332A08"/>
    <w:rsid w:val="003455B3"/>
    <w:rsid w:val="00370DB1"/>
    <w:rsid w:val="00371AAC"/>
    <w:rsid w:val="003900D7"/>
    <w:rsid w:val="00391026"/>
    <w:rsid w:val="0039155A"/>
    <w:rsid w:val="00391BC3"/>
    <w:rsid w:val="00392335"/>
    <w:rsid w:val="003D485F"/>
    <w:rsid w:val="004200D7"/>
    <w:rsid w:val="00446EF0"/>
    <w:rsid w:val="004568C9"/>
    <w:rsid w:val="0048408A"/>
    <w:rsid w:val="004D6F11"/>
    <w:rsid w:val="00503C80"/>
    <w:rsid w:val="0055669D"/>
    <w:rsid w:val="00566B65"/>
    <w:rsid w:val="005B031E"/>
    <w:rsid w:val="00610ED9"/>
    <w:rsid w:val="006334E3"/>
    <w:rsid w:val="00641ED1"/>
    <w:rsid w:val="00665B81"/>
    <w:rsid w:val="00676308"/>
    <w:rsid w:val="0068580C"/>
    <w:rsid w:val="007031FF"/>
    <w:rsid w:val="007070F4"/>
    <w:rsid w:val="007D45FD"/>
    <w:rsid w:val="008106C2"/>
    <w:rsid w:val="00841749"/>
    <w:rsid w:val="00842333"/>
    <w:rsid w:val="008478BF"/>
    <w:rsid w:val="0088624E"/>
    <w:rsid w:val="008B001A"/>
    <w:rsid w:val="0091158E"/>
    <w:rsid w:val="00951091"/>
    <w:rsid w:val="00963844"/>
    <w:rsid w:val="00974C96"/>
    <w:rsid w:val="009B6113"/>
    <w:rsid w:val="009E1FA8"/>
    <w:rsid w:val="00A216F3"/>
    <w:rsid w:val="00A327F8"/>
    <w:rsid w:val="00A37A63"/>
    <w:rsid w:val="00A77711"/>
    <w:rsid w:val="00AC2412"/>
    <w:rsid w:val="00AD13FE"/>
    <w:rsid w:val="00AD250D"/>
    <w:rsid w:val="00AD3E64"/>
    <w:rsid w:val="00AE75E0"/>
    <w:rsid w:val="00AF5FC4"/>
    <w:rsid w:val="00B661D2"/>
    <w:rsid w:val="00B842F1"/>
    <w:rsid w:val="00BA2C19"/>
    <w:rsid w:val="00BB7B44"/>
    <w:rsid w:val="00BF773B"/>
    <w:rsid w:val="00C206DB"/>
    <w:rsid w:val="00C50665"/>
    <w:rsid w:val="00CA1A9A"/>
    <w:rsid w:val="00CA61B6"/>
    <w:rsid w:val="00CB1522"/>
    <w:rsid w:val="00CB432E"/>
    <w:rsid w:val="00CB4499"/>
    <w:rsid w:val="00CD4B48"/>
    <w:rsid w:val="00CF1819"/>
    <w:rsid w:val="00D02ED4"/>
    <w:rsid w:val="00D17DC5"/>
    <w:rsid w:val="00D51405"/>
    <w:rsid w:val="00D624E9"/>
    <w:rsid w:val="00D81DC9"/>
    <w:rsid w:val="00DB6C1B"/>
    <w:rsid w:val="00DB6DFE"/>
    <w:rsid w:val="00E0677D"/>
    <w:rsid w:val="00E2361F"/>
    <w:rsid w:val="00E258FE"/>
    <w:rsid w:val="00E36D67"/>
    <w:rsid w:val="00E74B5C"/>
    <w:rsid w:val="00E8253F"/>
    <w:rsid w:val="00EB70C9"/>
    <w:rsid w:val="00EC1A77"/>
    <w:rsid w:val="00EE2A5A"/>
    <w:rsid w:val="00EF272C"/>
    <w:rsid w:val="00F055C7"/>
    <w:rsid w:val="00F8325B"/>
    <w:rsid w:val="00FC4285"/>
    <w:rsid w:val="00FD76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7B0A"/>
  <w15:chartTrackingRefBased/>
  <w15:docId w15:val="{147A8AE8-FA95-4FA5-831D-C1D21E73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7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00D7"/>
    <w:rPr>
      <w:color w:val="0563C1" w:themeColor="hyperlink"/>
      <w:u w:val="single"/>
    </w:rPr>
  </w:style>
  <w:style w:type="character" w:styleId="FollowedHyperlink">
    <w:name w:val="FollowedHyperlink"/>
    <w:basedOn w:val="DefaultParagraphFont"/>
    <w:uiPriority w:val="99"/>
    <w:semiHidden/>
    <w:unhideWhenUsed/>
    <w:rsid w:val="0091158E"/>
    <w:rPr>
      <w:color w:val="954F72" w:themeColor="followedHyperlink"/>
      <w:u w:val="single"/>
    </w:rPr>
  </w:style>
  <w:style w:type="paragraph" w:styleId="ListParagraph">
    <w:name w:val="List Paragraph"/>
    <w:basedOn w:val="Normal"/>
    <w:uiPriority w:val="34"/>
    <w:qFormat/>
    <w:rsid w:val="0091158E"/>
    <w:pPr>
      <w:spacing w:after="0" w:line="240" w:lineRule="auto"/>
      <w:ind w:left="720"/>
      <w:contextualSpacing/>
    </w:pPr>
    <w:rPr>
      <w:sz w:val="24"/>
      <w:szCs w:val="24"/>
    </w:rPr>
  </w:style>
  <w:style w:type="paragraph" w:styleId="Revision">
    <w:name w:val="Revision"/>
    <w:hidden/>
    <w:uiPriority w:val="99"/>
    <w:semiHidden/>
    <w:rsid w:val="00E8253F"/>
    <w:pPr>
      <w:spacing w:after="0" w:line="240" w:lineRule="auto"/>
    </w:pPr>
  </w:style>
  <w:style w:type="paragraph" w:styleId="BalloonText">
    <w:name w:val="Balloon Text"/>
    <w:basedOn w:val="Normal"/>
    <w:link w:val="BalloonTextChar"/>
    <w:uiPriority w:val="99"/>
    <w:semiHidden/>
    <w:unhideWhenUsed/>
    <w:rsid w:val="00E82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5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1823">
      <w:bodyDiv w:val="1"/>
      <w:marLeft w:val="0"/>
      <w:marRight w:val="0"/>
      <w:marTop w:val="0"/>
      <w:marBottom w:val="0"/>
      <w:divBdr>
        <w:top w:val="none" w:sz="0" w:space="0" w:color="auto"/>
        <w:left w:val="none" w:sz="0" w:space="0" w:color="auto"/>
        <w:bottom w:val="none" w:sz="0" w:space="0" w:color="auto"/>
        <w:right w:val="none" w:sz="0" w:space="0" w:color="auto"/>
      </w:divBdr>
    </w:div>
    <w:div w:id="605236225">
      <w:bodyDiv w:val="1"/>
      <w:marLeft w:val="0"/>
      <w:marRight w:val="0"/>
      <w:marTop w:val="0"/>
      <w:marBottom w:val="0"/>
      <w:divBdr>
        <w:top w:val="none" w:sz="0" w:space="0" w:color="auto"/>
        <w:left w:val="none" w:sz="0" w:space="0" w:color="auto"/>
        <w:bottom w:val="none" w:sz="0" w:space="0" w:color="auto"/>
        <w:right w:val="none" w:sz="0" w:space="0" w:color="auto"/>
      </w:divBdr>
    </w:div>
    <w:div w:id="974220466">
      <w:bodyDiv w:val="1"/>
      <w:marLeft w:val="0"/>
      <w:marRight w:val="0"/>
      <w:marTop w:val="0"/>
      <w:marBottom w:val="0"/>
      <w:divBdr>
        <w:top w:val="none" w:sz="0" w:space="0" w:color="auto"/>
        <w:left w:val="none" w:sz="0" w:space="0" w:color="auto"/>
        <w:bottom w:val="none" w:sz="0" w:space="0" w:color="auto"/>
        <w:right w:val="none" w:sz="0" w:space="0" w:color="auto"/>
      </w:divBdr>
    </w:div>
    <w:div w:id="1085761577">
      <w:bodyDiv w:val="1"/>
      <w:marLeft w:val="0"/>
      <w:marRight w:val="0"/>
      <w:marTop w:val="0"/>
      <w:marBottom w:val="0"/>
      <w:divBdr>
        <w:top w:val="none" w:sz="0" w:space="0" w:color="auto"/>
        <w:left w:val="none" w:sz="0" w:space="0" w:color="auto"/>
        <w:bottom w:val="none" w:sz="0" w:space="0" w:color="auto"/>
        <w:right w:val="none" w:sz="0" w:space="0" w:color="auto"/>
      </w:divBdr>
    </w:div>
    <w:div w:id="1144734593">
      <w:bodyDiv w:val="1"/>
      <w:marLeft w:val="0"/>
      <w:marRight w:val="0"/>
      <w:marTop w:val="0"/>
      <w:marBottom w:val="0"/>
      <w:divBdr>
        <w:top w:val="none" w:sz="0" w:space="0" w:color="auto"/>
        <w:left w:val="none" w:sz="0" w:space="0" w:color="auto"/>
        <w:bottom w:val="none" w:sz="0" w:space="0" w:color="auto"/>
        <w:right w:val="none" w:sz="0" w:space="0" w:color="auto"/>
      </w:divBdr>
      <w:divsChild>
        <w:div w:id="1472945257">
          <w:marLeft w:val="360"/>
          <w:marRight w:val="0"/>
          <w:marTop w:val="200"/>
          <w:marBottom w:val="0"/>
          <w:divBdr>
            <w:top w:val="none" w:sz="0" w:space="0" w:color="auto"/>
            <w:left w:val="none" w:sz="0" w:space="0" w:color="auto"/>
            <w:bottom w:val="none" w:sz="0" w:space="0" w:color="auto"/>
            <w:right w:val="none" w:sz="0" w:space="0" w:color="auto"/>
          </w:divBdr>
        </w:div>
      </w:divsChild>
    </w:div>
    <w:div w:id="1341352877">
      <w:bodyDiv w:val="1"/>
      <w:marLeft w:val="0"/>
      <w:marRight w:val="0"/>
      <w:marTop w:val="0"/>
      <w:marBottom w:val="0"/>
      <w:divBdr>
        <w:top w:val="none" w:sz="0" w:space="0" w:color="auto"/>
        <w:left w:val="none" w:sz="0" w:space="0" w:color="auto"/>
        <w:bottom w:val="none" w:sz="0" w:space="0" w:color="auto"/>
        <w:right w:val="none" w:sz="0" w:space="0" w:color="auto"/>
      </w:divBdr>
    </w:div>
    <w:div w:id="1573463993">
      <w:bodyDiv w:val="1"/>
      <w:marLeft w:val="0"/>
      <w:marRight w:val="0"/>
      <w:marTop w:val="0"/>
      <w:marBottom w:val="0"/>
      <w:divBdr>
        <w:top w:val="none" w:sz="0" w:space="0" w:color="auto"/>
        <w:left w:val="none" w:sz="0" w:space="0" w:color="auto"/>
        <w:bottom w:val="none" w:sz="0" w:space="0" w:color="auto"/>
        <w:right w:val="none" w:sz="0" w:space="0" w:color="auto"/>
      </w:divBdr>
      <w:divsChild>
        <w:div w:id="218593875">
          <w:marLeft w:val="360"/>
          <w:marRight w:val="0"/>
          <w:marTop w:val="200"/>
          <w:marBottom w:val="0"/>
          <w:divBdr>
            <w:top w:val="none" w:sz="0" w:space="0" w:color="auto"/>
            <w:left w:val="none" w:sz="0" w:space="0" w:color="auto"/>
            <w:bottom w:val="none" w:sz="0" w:space="0" w:color="auto"/>
            <w:right w:val="none" w:sz="0" w:space="0" w:color="auto"/>
          </w:divBdr>
        </w:div>
      </w:divsChild>
    </w:div>
    <w:div w:id="1719861346">
      <w:bodyDiv w:val="1"/>
      <w:marLeft w:val="0"/>
      <w:marRight w:val="0"/>
      <w:marTop w:val="0"/>
      <w:marBottom w:val="0"/>
      <w:divBdr>
        <w:top w:val="none" w:sz="0" w:space="0" w:color="auto"/>
        <w:left w:val="none" w:sz="0" w:space="0" w:color="auto"/>
        <w:bottom w:val="none" w:sz="0" w:space="0" w:color="auto"/>
        <w:right w:val="none" w:sz="0" w:space="0" w:color="auto"/>
      </w:divBdr>
    </w:div>
    <w:div w:id="1796832072">
      <w:bodyDiv w:val="1"/>
      <w:marLeft w:val="0"/>
      <w:marRight w:val="0"/>
      <w:marTop w:val="0"/>
      <w:marBottom w:val="0"/>
      <w:divBdr>
        <w:top w:val="none" w:sz="0" w:space="0" w:color="auto"/>
        <w:left w:val="none" w:sz="0" w:space="0" w:color="auto"/>
        <w:bottom w:val="none" w:sz="0" w:space="0" w:color="auto"/>
        <w:right w:val="none" w:sz="0" w:space="0" w:color="auto"/>
      </w:divBdr>
    </w:div>
    <w:div w:id="1810513095">
      <w:bodyDiv w:val="1"/>
      <w:marLeft w:val="0"/>
      <w:marRight w:val="0"/>
      <w:marTop w:val="0"/>
      <w:marBottom w:val="0"/>
      <w:divBdr>
        <w:top w:val="none" w:sz="0" w:space="0" w:color="auto"/>
        <w:left w:val="none" w:sz="0" w:space="0" w:color="auto"/>
        <w:bottom w:val="none" w:sz="0" w:space="0" w:color="auto"/>
        <w:right w:val="none" w:sz="0" w:space="0" w:color="auto"/>
      </w:divBdr>
      <w:divsChild>
        <w:div w:id="807745366">
          <w:marLeft w:val="360"/>
          <w:marRight w:val="0"/>
          <w:marTop w:val="200"/>
          <w:marBottom w:val="0"/>
          <w:divBdr>
            <w:top w:val="none" w:sz="0" w:space="0" w:color="auto"/>
            <w:left w:val="none" w:sz="0" w:space="0" w:color="auto"/>
            <w:bottom w:val="none" w:sz="0" w:space="0" w:color="auto"/>
            <w:right w:val="none" w:sz="0" w:space="0" w:color="auto"/>
          </w:divBdr>
        </w:div>
      </w:divsChild>
    </w:div>
    <w:div w:id="1946232394">
      <w:bodyDiv w:val="1"/>
      <w:marLeft w:val="0"/>
      <w:marRight w:val="0"/>
      <w:marTop w:val="0"/>
      <w:marBottom w:val="0"/>
      <w:divBdr>
        <w:top w:val="none" w:sz="0" w:space="0" w:color="auto"/>
        <w:left w:val="none" w:sz="0" w:space="0" w:color="auto"/>
        <w:bottom w:val="none" w:sz="0" w:space="0" w:color="auto"/>
        <w:right w:val="none" w:sz="0" w:space="0" w:color="auto"/>
      </w:divBdr>
    </w:div>
    <w:div w:id="1988241365">
      <w:bodyDiv w:val="1"/>
      <w:marLeft w:val="0"/>
      <w:marRight w:val="0"/>
      <w:marTop w:val="0"/>
      <w:marBottom w:val="0"/>
      <w:divBdr>
        <w:top w:val="none" w:sz="0" w:space="0" w:color="auto"/>
        <w:left w:val="none" w:sz="0" w:space="0" w:color="auto"/>
        <w:bottom w:val="none" w:sz="0" w:space="0" w:color="auto"/>
        <w:right w:val="none" w:sz="0" w:space="0" w:color="auto"/>
      </w:divBdr>
      <w:divsChild>
        <w:div w:id="19668145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forumchambers.com" TargetMode="External"/><Relationship Id="rId5" Type="http://schemas.openxmlformats.org/officeDocument/2006/relationships/hyperlink" Target="mailto:rsethi-smith@forumchamb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Ruhi Sethi</dc:creator>
  <cp:keywords/>
  <dc:description/>
  <cp:lastModifiedBy>jarrodhowardbrowne@gmail.com</cp:lastModifiedBy>
  <cp:revision>2</cp:revision>
  <dcterms:created xsi:type="dcterms:W3CDTF">2022-02-18T10:36:00Z</dcterms:created>
  <dcterms:modified xsi:type="dcterms:W3CDTF">2022-02-18T10:36:00Z</dcterms:modified>
</cp:coreProperties>
</file>